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6632" w14:textId="77777777" w:rsidR="005A140B" w:rsidRPr="000A3A07" w:rsidRDefault="005A140B" w:rsidP="005A140B">
      <w:pPr>
        <w:pageBreakBefore/>
        <w:widowControl/>
        <w:adjustRightInd w:val="0"/>
        <w:snapToGrid w:val="0"/>
        <w:mirrorIndents/>
        <w:jc w:val="center"/>
        <w:rPr>
          <w:rFonts w:asciiTheme="majorEastAsia" w:eastAsiaTheme="majorEastAsia" w:hAnsiTheme="majorEastAsia"/>
          <w:b/>
          <w:bCs/>
          <w:sz w:val="24"/>
          <w:szCs w:val="24"/>
        </w:rPr>
      </w:pPr>
      <w:r w:rsidRPr="000A3A07">
        <w:rPr>
          <w:rFonts w:asciiTheme="majorEastAsia" w:eastAsiaTheme="majorEastAsia" w:hAnsiTheme="majorEastAsia" w:hint="eastAsia"/>
          <w:b/>
          <w:bCs/>
          <w:sz w:val="24"/>
          <w:szCs w:val="24"/>
        </w:rPr>
        <w:t>素形材産業における物流の適正化・生産性向上に向けた自主行動計画</w:t>
      </w:r>
    </w:p>
    <w:p w14:paraId="69E47B35" w14:textId="3EF2FA15" w:rsidR="005A140B" w:rsidRPr="000A3A07" w:rsidRDefault="005A140B" w:rsidP="005A140B">
      <w:pPr>
        <w:widowControl/>
        <w:adjustRightInd w:val="0"/>
        <w:snapToGrid w:val="0"/>
        <w:mirrorIndents/>
        <w:jc w:val="center"/>
        <w:rPr>
          <w:rFonts w:asciiTheme="majorEastAsia" w:eastAsiaTheme="majorEastAsia" w:hAnsiTheme="majorEastAsia"/>
          <w:b/>
          <w:bCs/>
          <w:sz w:val="24"/>
          <w:szCs w:val="24"/>
        </w:rPr>
      </w:pPr>
    </w:p>
    <w:p w14:paraId="7D57816F" w14:textId="77777777" w:rsidR="005A140B" w:rsidRPr="000A3A07" w:rsidRDefault="005A140B" w:rsidP="005A140B">
      <w:pPr>
        <w:widowControl/>
        <w:adjustRightInd w:val="0"/>
        <w:snapToGrid w:val="0"/>
        <w:mirrorIndents/>
        <w:rPr>
          <w:rFonts w:asciiTheme="majorEastAsia" w:eastAsiaTheme="majorEastAsia" w:hAnsiTheme="majorEastAsia"/>
          <w:b/>
          <w:bCs/>
          <w:sz w:val="24"/>
          <w:szCs w:val="24"/>
        </w:rPr>
      </w:pPr>
    </w:p>
    <w:p w14:paraId="210D6FB8" w14:textId="3A678AD1" w:rsidR="005A140B" w:rsidRPr="000A3A07" w:rsidRDefault="001F2EA3" w:rsidP="005A140B">
      <w:pPr>
        <w:widowControl/>
        <w:adjustRightInd w:val="0"/>
        <w:snapToGrid w:val="0"/>
        <w:mirrorIndents/>
        <w:jc w:val="right"/>
        <w:rPr>
          <w:rFonts w:asciiTheme="minorEastAsia" w:hAnsiTheme="minorEastAsia"/>
          <w:sz w:val="24"/>
          <w:szCs w:val="24"/>
        </w:rPr>
      </w:pPr>
      <w:r>
        <w:rPr>
          <w:rFonts w:asciiTheme="minorEastAsia" w:hAnsiTheme="minorEastAsia" w:hint="eastAsia"/>
          <w:sz w:val="24"/>
          <w:szCs w:val="24"/>
        </w:rPr>
        <w:t>２０２３</w:t>
      </w:r>
      <w:r w:rsidR="005A140B" w:rsidRPr="000A3A07">
        <w:rPr>
          <w:rFonts w:asciiTheme="minorEastAsia" w:hAnsiTheme="minorEastAsia" w:hint="eastAsia"/>
          <w:sz w:val="24"/>
          <w:szCs w:val="24"/>
        </w:rPr>
        <w:t>年</w:t>
      </w:r>
      <w:r>
        <w:rPr>
          <w:rFonts w:asciiTheme="minorEastAsia" w:hAnsiTheme="minorEastAsia" w:hint="eastAsia"/>
          <w:sz w:val="24"/>
          <w:szCs w:val="24"/>
        </w:rPr>
        <w:t>１２</w:t>
      </w:r>
      <w:r w:rsidR="005A140B" w:rsidRPr="000A3A07">
        <w:rPr>
          <w:rFonts w:asciiTheme="minorEastAsia" w:hAnsiTheme="minorEastAsia" w:hint="eastAsia"/>
          <w:sz w:val="24"/>
          <w:szCs w:val="24"/>
        </w:rPr>
        <w:t>月</w:t>
      </w:r>
      <w:r w:rsidR="007E31A1">
        <w:rPr>
          <w:rFonts w:asciiTheme="minorEastAsia" w:hAnsiTheme="minorEastAsia" w:hint="eastAsia"/>
          <w:sz w:val="24"/>
          <w:szCs w:val="24"/>
        </w:rPr>
        <w:t>２０日</w:t>
      </w:r>
    </w:p>
    <w:p w14:paraId="1B83AB01" w14:textId="0C8E2928" w:rsidR="005A140B" w:rsidRPr="000A3A07" w:rsidRDefault="001F2EA3" w:rsidP="005A140B">
      <w:pPr>
        <w:widowControl/>
        <w:adjustRightInd w:val="0"/>
        <w:snapToGrid w:val="0"/>
        <w:mirrorIndents/>
        <w:jc w:val="right"/>
        <w:rPr>
          <w:rFonts w:asciiTheme="minorEastAsia" w:hAnsiTheme="minorEastAsia"/>
          <w:sz w:val="24"/>
          <w:szCs w:val="24"/>
        </w:rPr>
      </w:pPr>
      <w:r>
        <w:rPr>
          <w:rFonts w:asciiTheme="minorEastAsia" w:hAnsiTheme="minorEastAsia" w:hint="eastAsia"/>
          <w:sz w:val="24"/>
          <w:szCs w:val="24"/>
        </w:rPr>
        <w:t>一般社団法人日本金型工業会</w:t>
      </w:r>
    </w:p>
    <w:p w14:paraId="254411F1" w14:textId="7F013E0E" w:rsidR="005A140B" w:rsidRPr="000A3A07" w:rsidRDefault="001F2EA3" w:rsidP="005A140B">
      <w:pPr>
        <w:widowControl/>
        <w:adjustRightInd w:val="0"/>
        <w:snapToGrid w:val="0"/>
        <w:mirrorIndents/>
        <w:jc w:val="right"/>
        <w:rPr>
          <w:rFonts w:asciiTheme="minorEastAsia" w:hAnsiTheme="minorEastAsia"/>
          <w:sz w:val="24"/>
          <w:szCs w:val="24"/>
        </w:rPr>
      </w:pPr>
      <w:r>
        <w:rPr>
          <w:rFonts w:asciiTheme="minorEastAsia" w:hAnsiTheme="minorEastAsia" w:hint="eastAsia"/>
          <w:sz w:val="24"/>
          <w:szCs w:val="24"/>
        </w:rPr>
        <w:t>一般社団法人日本金属熱処理工業会</w:t>
      </w:r>
    </w:p>
    <w:p w14:paraId="3F711674" w14:textId="5C9D29AC" w:rsidR="005A140B" w:rsidRPr="000A3A07" w:rsidRDefault="001F2EA3" w:rsidP="005A140B">
      <w:pPr>
        <w:widowControl/>
        <w:adjustRightInd w:val="0"/>
        <w:snapToGrid w:val="0"/>
        <w:mirrorIndents/>
        <w:jc w:val="right"/>
        <w:rPr>
          <w:rFonts w:asciiTheme="minorEastAsia" w:hAnsiTheme="minorEastAsia"/>
          <w:sz w:val="24"/>
          <w:szCs w:val="24"/>
        </w:rPr>
      </w:pPr>
      <w:r>
        <w:rPr>
          <w:rFonts w:asciiTheme="minorEastAsia" w:hAnsiTheme="minorEastAsia" w:hint="eastAsia"/>
          <w:sz w:val="24"/>
          <w:szCs w:val="24"/>
        </w:rPr>
        <w:t>一般社団法人日本金属プレス工業協会</w:t>
      </w:r>
    </w:p>
    <w:p w14:paraId="70773A0D" w14:textId="365B2CA0" w:rsidR="005A140B" w:rsidRPr="000A3A07" w:rsidRDefault="001F2EA3" w:rsidP="005A140B">
      <w:pPr>
        <w:widowControl/>
        <w:adjustRightInd w:val="0"/>
        <w:snapToGrid w:val="0"/>
        <w:mirrorIndents/>
        <w:jc w:val="right"/>
        <w:rPr>
          <w:rFonts w:asciiTheme="minorEastAsia" w:hAnsiTheme="minorEastAsia"/>
          <w:sz w:val="24"/>
          <w:szCs w:val="24"/>
        </w:rPr>
      </w:pPr>
      <w:r>
        <w:rPr>
          <w:rFonts w:asciiTheme="minorEastAsia" w:hAnsiTheme="minorEastAsia" w:hint="eastAsia"/>
          <w:sz w:val="24"/>
          <w:szCs w:val="24"/>
        </w:rPr>
        <w:t>一般社団法人日本ダイカスト協会</w:t>
      </w:r>
    </w:p>
    <w:p w14:paraId="546B34AA" w14:textId="77777777" w:rsidR="008E3371" w:rsidRPr="000A3A07" w:rsidRDefault="008E3371" w:rsidP="008E3371">
      <w:pPr>
        <w:widowControl/>
        <w:adjustRightInd w:val="0"/>
        <w:snapToGrid w:val="0"/>
        <w:mirrorIndents/>
        <w:jc w:val="right"/>
        <w:rPr>
          <w:rFonts w:asciiTheme="minorEastAsia" w:hAnsiTheme="minorEastAsia"/>
          <w:sz w:val="24"/>
          <w:szCs w:val="24"/>
        </w:rPr>
      </w:pPr>
      <w:r>
        <w:rPr>
          <w:rFonts w:asciiTheme="minorEastAsia" w:hAnsiTheme="minorEastAsia" w:hint="eastAsia"/>
          <w:sz w:val="24"/>
          <w:szCs w:val="24"/>
        </w:rPr>
        <w:t>一般社団法人日本鍛圧機械工業</w:t>
      </w:r>
      <w:r w:rsidRPr="000A3A07">
        <w:rPr>
          <w:rFonts w:asciiTheme="minorEastAsia" w:hAnsiTheme="minorEastAsia" w:hint="eastAsia"/>
          <w:sz w:val="24"/>
          <w:szCs w:val="24"/>
        </w:rPr>
        <w:t>会</w:t>
      </w:r>
    </w:p>
    <w:p w14:paraId="40CACBEA" w14:textId="2D046B56" w:rsidR="005A140B" w:rsidRPr="000A3A07" w:rsidRDefault="001F2EA3" w:rsidP="005A140B">
      <w:pPr>
        <w:widowControl/>
        <w:adjustRightInd w:val="0"/>
        <w:snapToGrid w:val="0"/>
        <w:mirrorIndents/>
        <w:jc w:val="right"/>
        <w:rPr>
          <w:rFonts w:asciiTheme="minorEastAsia" w:hAnsiTheme="minorEastAsia"/>
          <w:sz w:val="24"/>
          <w:szCs w:val="24"/>
        </w:rPr>
      </w:pPr>
      <w:r>
        <w:rPr>
          <w:rFonts w:asciiTheme="minorEastAsia" w:hAnsiTheme="minorEastAsia" w:hint="eastAsia"/>
          <w:sz w:val="24"/>
          <w:szCs w:val="24"/>
        </w:rPr>
        <w:t>一般社団法人日本鍛造協会</w:t>
      </w:r>
    </w:p>
    <w:p w14:paraId="3EFDA594" w14:textId="5F918058" w:rsidR="005A140B" w:rsidRPr="000A3A07" w:rsidRDefault="001F2EA3" w:rsidP="005A140B">
      <w:pPr>
        <w:widowControl/>
        <w:adjustRightInd w:val="0"/>
        <w:snapToGrid w:val="0"/>
        <w:mirrorIndents/>
        <w:jc w:val="right"/>
        <w:rPr>
          <w:rFonts w:asciiTheme="minorEastAsia" w:hAnsiTheme="minorEastAsia"/>
          <w:sz w:val="24"/>
          <w:szCs w:val="24"/>
        </w:rPr>
      </w:pPr>
      <w:r>
        <w:rPr>
          <w:rFonts w:asciiTheme="minorEastAsia" w:hAnsiTheme="minorEastAsia" w:hint="eastAsia"/>
          <w:sz w:val="24"/>
          <w:szCs w:val="24"/>
        </w:rPr>
        <w:t>一般社団法人日本鋳造協会</w:t>
      </w:r>
    </w:p>
    <w:p w14:paraId="611341CD" w14:textId="77777777" w:rsidR="001F2EA3" w:rsidRDefault="001F2EA3" w:rsidP="001F2EA3">
      <w:pPr>
        <w:widowControl/>
        <w:adjustRightInd w:val="0"/>
        <w:snapToGrid w:val="0"/>
        <w:mirrorIndents/>
        <w:jc w:val="right"/>
        <w:rPr>
          <w:rFonts w:asciiTheme="minorEastAsia" w:hAnsiTheme="minorEastAsia"/>
          <w:sz w:val="24"/>
          <w:szCs w:val="24"/>
        </w:rPr>
      </w:pPr>
      <w:r>
        <w:rPr>
          <w:rFonts w:asciiTheme="minorEastAsia" w:hAnsiTheme="minorEastAsia" w:hint="eastAsia"/>
          <w:sz w:val="24"/>
          <w:szCs w:val="24"/>
        </w:rPr>
        <w:t>一般社団法人日本鋳鍛鋼会</w:t>
      </w:r>
    </w:p>
    <w:p w14:paraId="034BDA65" w14:textId="77777777" w:rsidR="008E3371" w:rsidRPr="000A3A07" w:rsidRDefault="008E3371" w:rsidP="008E3371">
      <w:pPr>
        <w:widowControl/>
        <w:adjustRightInd w:val="0"/>
        <w:snapToGrid w:val="0"/>
        <w:mirrorIndents/>
        <w:jc w:val="right"/>
        <w:rPr>
          <w:rFonts w:asciiTheme="minorEastAsia" w:hAnsiTheme="minorEastAsia"/>
          <w:sz w:val="24"/>
          <w:szCs w:val="24"/>
        </w:rPr>
      </w:pPr>
      <w:r>
        <w:rPr>
          <w:rFonts w:asciiTheme="minorEastAsia" w:hAnsiTheme="minorEastAsia" w:hint="eastAsia"/>
          <w:sz w:val="24"/>
          <w:szCs w:val="24"/>
        </w:rPr>
        <w:t>一般社団法人日本バルブ工業会</w:t>
      </w:r>
    </w:p>
    <w:p w14:paraId="64FAE4F3" w14:textId="0A5F67FA" w:rsidR="001F2EA3" w:rsidRDefault="001F2EA3" w:rsidP="001F2EA3">
      <w:pPr>
        <w:widowControl/>
        <w:adjustRightInd w:val="0"/>
        <w:snapToGrid w:val="0"/>
        <w:mirrorIndents/>
        <w:jc w:val="right"/>
        <w:rPr>
          <w:rFonts w:asciiTheme="minorEastAsia" w:hAnsiTheme="minorEastAsia"/>
          <w:sz w:val="24"/>
          <w:szCs w:val="24"/>
        </w:rPr>
      </w:pPr>
      <w:r>
        <w:rPr>
          <w:rFonts w:asciiTheme="minorEastAsia" w:hAnsiTheme="minorEastAsia" w:hint="eastAsia"/>
          <w:sz w:val="24"/>
          <w:szCs w:val="24"/>
        </w:rPr>
        <w:t>日本粉末冶金</w:t>
      </w:r>
      <w:r w:rsidR="0028475F">
        <w:rPr>
          <w:rFonts w:asciiTheme="minorEastAsia" w:hAnsiTheme="minorEastAsia" w:hint="eastAsia"/>
          <w:sz w:val="24"/>
          <w:szCs w:val="24"/>
        </w:rPr>
        <w:t>工業</w:t>
      </w:r>
      <w:r>
        <w:rPr>
          <w:rFonts w:asciiTheme="minorEastAsia" w:hAnsiTheme="minorEastAsia" w:hint="eastAsia"/>
          <w:sz w:val="24"/>
          <w:szCs w:val="24"/>
        </w:rPr>
        <w:t>会</w:t>
      </w:r>
    </w:p>
    <w:p w14:paraId="799D897B" w14:textId="77777777" w:rsidR="005A140B" w:rsidRPr="000A3A07" w:rsidRDefault="005A140B" w:rsidP="005A140B">
      <w:pPr>
        <w:widowControl/>
        <w:adjustRightInd w:val="0"/>
        <w:mirrorIndents/>
        <w:rPr>
          <w:rFonts w:asciiTheme="minorEastAsia" w:hAnsiTheme="minorEastAsia"/>
          <w:sz w:val="24"/>
          <w:szCs w:val="24"/>
        </w:rPr>
      </w:pPr>
    </w:p>
    <w:p w14:paraId="2BB03948" w14:textId="77777777" w:rsidR="005A140B" w:rsidRPr="008A3E4C" w:rsidRDefault="005A140B" w:rsidP="005A140B">
      <w:pPr>
        <w:widowControl/>
        <w:adjustRightInd w:val="0"/>
        <w:ind w:left="210" w:right="210" w:firstLineChars="100" w:firstLine="240"/>
        <w:mirrorIndents/>
        <w:rPr>
          <w:rFonts w:asciiTheme="minorEastAsia" w:hAnsiTheme="minorEastAsia"/>
          <w:sz w:val="24"/>
          <w:szCs w:val="24"/>
        </w:rPr>
      </w:pPr>
      <w:r w:rsidRPr="008A3E4C">
        <w:rPr>
          <w:rFonts w:asciiTheme="minorEastAsia" w:hAnsiTheme="minorEastAsia" w:hint="eastAsia"/>
          <w:sz w:val="24"/>
          <w:szCs w:val="24"/>
        </w:rPr>
        <w:t>物流は、我が国の国民生活や経済活動を支える重要な社会インフラであり、素形材産業にとっても不可欠なものであるが、人手不足や低い労働生産性といった構造的な課題への対応のほか、カーボンニュートラルへの対応にも迫られている。</w:t>
      </w:r>
    </w:p>
    <w:p w14:paraId="229253E7" w14:textId="5CD6CAC8" w:rsidR="005A140B" w:rsidRPr="008A3E4C" w:rsidRDefault="005A140B" w:rsidP="005A140B">
      <w:pPr>
        <w:widowControl/>
        <w:adjustRightInd w:val="0"/>
        <w:ind w:left="210" w:right="210" w:firstLineChars="100" w:firstLine="240"/>
        <w:mirrorIndents/>
        <w:rPr>
          <w:rFonts w:asciiTheme="minorEastAsia" w:hAnsiTheme="minorEastAsia"/>
          <w:sz w:val="24"/>
          <w:szCs w:val="24"/>
        </w:rPr>
      </w:pPr>
      <w:r w:rsidRPr="008A3E4C">
        <w:rPr>
          <w:rFonts w:asciiTheme="minorEastAsia" w:hAnsiTheme="minorEastAsia" w:hint="eastAsia"/>
          <w:sz w:val="24"/>
          <w:szCs w:val="24"/>
        </w:rPr>
        <w:t>そのような中、2024年４月には、トラックドライバーに「働き方改革を推進するための関係法律の整備に関する法律」（平成30年法律第71号）が適用され、時間外労働の上限が年間960 時間となる</w:t>
      </w:r>
      <w:r w:rsidR="00427D99">
        <w:rPr>
          <w:rFonts w:asciiTheme="minorEastAsia" w:hAnsiTheme="minorEastAsia" w:hint="eastAsia"/>
          <w:sz w:val="24"/>
          <w:szCs w:val="24"/>
        </w:rPr>
        <w:t>など</w:t>
      </w:r>
      <w:r w:rsidRPr="008A3E4C">
        <w:rPr>
          <w:rFonts w:asciiTheme="minorEastAsia" w:hAnsiTheme="minorEastAsia" w:hint="eastAsia"/>
          <w:sz w:val="24"/>
          <w:szCs w:val="24"/>
        </w:rPr>
        <w:t>、何も対策を講じなければ物流が停滞しかねなくなるという、いわゆる「2024年問題」に直面している。これは一過性の課題ではなく、2030年</w:t>
      </w:r>
      <w:r>
        <w:rPr>
          <w:rFonts w:asciiTheme="minorEastAsia" w:hAnsiTheme="minorEastAsia" w:hint="eastAsia"/>
          <w:sz w:val="24"/>
          <w:szCs w:val="24"/>
        </w:rPr>
        <w:t>度</w:t>
      </w:r>
      <w:r w:rsidRPr="008A3E4C">
        <w:rPr>
          <w:rFonts w:asciiTheme="minorEastAsia" w:hAnsiTheme="minorEastAsia" w:hint="eastAsia"/>
          <w:sz w:val="24"/>
          <w:szCs w:val="24"/>
        </w:rPr>
        <w:t>の輸送力不足</w:t>
      </w:r>
      <w:r>
        <w:rPr>
          <w:rFonts w:asciiTheme="minorEastAsia" w:hAnsiTheme="minorEastAsia" w:hint="eastAsia"/>
          <w:sz w:val="24"/>
          <w:szCs w:val="24"/>
        </w:rPr>
        <w:t>の可能性</w:t>
      </w:r>
      <w:r w:rsidRPr="008A3E4C">
        <w:rPr>
          <w:rFonts w:asciiTheme="minorEastAsia" w:hAnsiTheme="minorEastAsia" w:hint="eastAsia"/>
          <w:sz w:val="24"/>
          <w:szCs w:val="24"/>
        </w:rPr>
        <w:t>も見据えて、荷主事業者、物流事業者（運送・倉庫等）、一般消費者が協力して我が国の物流を支える環境整備に係る取組を進める必要がある。</w:t>
      </w:r>
    </w:p>
    <w:p w14:paraId="62A9891A" w14:textId="77777777" w:rsidR="005A140B" w:rsidRPr="008A3E4C" w:rsidRDefault="005A140B" w:rsidP="005A140B">
      <w:pPr>
        <w:widowControl/>
        <w:adjustRightInd w:val="0"/>
        <w:ind w:left="210" w:right="210" w:firstLineChars="100" w:firstLine="240"/>
        <w:mirrorIndents/>
        <w:rPr>
          <w:rFonts w:asciiTheme="minorEastAsia" w:hAnsiTheme="minorEastAsia"/>
          <w:sz w:val="24"/>
          <w:szCs w:val="24"/>
        </w:rPr>
      </w:pPr>
      <w:r w:rsidRPr="008A3E4C">
        <w:rPr>
          <w:rFonts w:asciiTheme="minorEastAsia" w:hAnsiTheme="minorEastAsia" w:hint="eastAsia"/>
          <w:sz w:val="24"/>
          <w:szCs w:val="24"/>
        </w:rPr>
        <w:t>この点、素形材産業においても、人手不足や労務費・エネルギーコスト等の価格転嫁等の取引適正化に関する課題を抱え、厳しい事業環境にある中で、例えば、燃料価格高騰の際の運賃の価格転嫁や、納品リードタイムの短縮に向けた取組等について、荷主事業者たる素形材</w:t>
      </w:r>
      <w:r>
        <w:rPr>
          <w:rFonts w:asciiTheme="minorEastAsia" w:hAnsiTheme="minorEastAsia" w:hint="eastAsia"/>
          <w:sz w:val="24"/>
          <w:szCs w:val="24"/>
        </w:rPr>
        <w:t>事業者</w:t>
      </w:r>
      <w:r w:rsidRPr="008A3E4C">
        <w:rPr>
          <w:rFonts w:asciiTheme="minorEastAsia" w:hAnsiTheme="minorEastAsia" w:hint="eastAsia"/>
          <w:sz w:val="24"/>
          <w:szCs w:val="24"/>
        </w:rPr>
        <w:t>と物流事業者の関係だけで解決することは困難であり、サプライチェーン全体で取組を進めていくことが不可欠である。</w:t>
      </w:r>
    </w:p>
    <w:p w14:paraId="1CFD8F87" w14:textId="225E1B09" w:rsidR="005A140B" w:rsidRPr="008A3E4C" w:rsidRDefault="005A140B" w:rsidP="005A140B">
      <w:pPr>
        <w:widowControl/>
        <w:adjustRightInd w:val="0"/>
        <w:ind w:left="210" w:right="210" w:firstLineChars="100" w:firstLine="240"/>
        <w:mirrorIndents/>
        <w:rPr>
          <w:rFonts w:asciiTheme="minorEastAsia" w:hAnsiTheme="minorEastAsia"/>
          <w:sz w:val="24"/>
          <w:szCs w:val="24"/>
        </w:rPr>
      </w:pPr>
      <w:r w:rsidRPr="008A3E4C">
        <w:rPr>
          <w:rFonts w:asciiTheme="minorEastAsia" w:hAnsiTheme="minorEastAsia" w:hint="eastAsia"/>
          <w:sz w:val="24"/>
          <w:szCs w:val="24"/>
        </w:rPr>
        <w:t>こうした前提の下、「物流革新に向けた政策パッケージ」（令和５年６月２日我が国の物流の革新に関する関係閣僚会議）、「物流の適正化・生産性向上に向けた荷主事業者・物流事業者の取組に関するガイドライン」（2023年６月経済産業省・農林水産省・国土交通省）を踏まえて、素形材産業として、発荷主事業者又は着荷主事業者の観点から、物流の適正化・生産性向上に向けて取り組むべき内容を本自主行動計画として定めることとし、現場の実態等を踏まえて随時見直しを行っていくものとする。</w:t>
      </w:r>
    </w:p>
    <w:p w14:paraId="4677E2CB" w14:textId="77777777" w:rsidR="005A140B" w:rsidRDefault="005A140B" w:rsidP="005A140B">
      <w:pPr>
        <w:widowControl/>
        <w:adjustRightInd w:val="0"/>
        <w:mirrorIndents/>
        <w:rPr>
          <w:rFonts w:asciiTheme="minorEastAsia" w:hAnsiTheme="minorEastAsia"/>
          <w:sz w:val="24"/>
          <w:szCs w:val="24"/>
        </w:rPr>
      </w:pPr>
    </w:p>
    <w:p w14:paraId="2EF0D97D" w14:textId="77777777" w:rsidR="002A2133" w:rsidRDefault="002A2133" w:rsidP="005A140B">
      <w:pPr>
        <w:widowControl/>
        <w:adjustRightInd w:val="0"/>
        <w:mirrorIndents/>
        <w:rPr>
          <w:rFonts w:asciiTheme="minorEastAsia" w:hAnsiTheme="minorEastAsia"/>
          <w:sz w:val="24"/>
          <w:szCs w:val="24"/>
        </w:rPr>
      </w:pPr>
    </w:p>
    <w:p w14:paraId="30657ED1" w14:textId="77777777" w:rsidR="002A2133" w:rsidRDefault="002A2133" w:rsidP="005A140B">
      <w:pPr>
        <w:widowControl/>
        <w:adjustRightInd w:val="0"/>
        <w:mirrorIndents/>
        <w:rPr>
          <w:rFonts w:asciiTheme="minorEastAsia" w:hAnsiTheme="minorEastAsia"/>
          <w:sz w:val="24"/>
          <w:szCs w:val="24"/>
        </w:rPr>
      </w:pPr>
    </w:p>
    <w:p w14:paraId="73E6F091" w14:textId="77777777" w:rsidR="002A2133" w:rsidRDefault="002A2133" w:rsidP="005A140B">
      <w:pPr>
        <w:widowControl/>
        <w:adjustRightInd w:val="0"/>
        <w:mirrorIndents/>
        <w:rPr>
          <w:rFonts w:asciiTheme="minorEastAsia" w:hAnsiTheme="minorEastAsia"/>
          <w:sz w:val="24"/>
          <w:szCs w:val="24"/>
        </w:rPr>
      </w:pPr>
    </w:p>
    <w:p w14:paraId="2E7A4505" w14:textId="77777777" w:rsidR="002A2133" w:rsidRDefault="002A2133" w:rsidP="005A140B">
      <w:pPr>
        <w:widowControl/>
        <w:adjustRightInd w:val="0"/>
        <w:mirrorIndents/>
        <w:rPr>
          <w:rFonts w:asciiTheme="minorEastAsia" w:hAnsiTheme="minorEastAsia"/>
          <w:sz w:val="24"/>
          <w:szCs w:val="24"/>
        </w:rPr>
      </w:pPr>
    </w:p>
    <w:p w14:paraId="30988DE5" w14:textId="77777777" w:rsidR="002A2133" w:rsidRDefault="002A2133" w:rsidP="005A140B">
      <w:pPr>
        <w:widowControl/>
        <w:adjustRightInd w:val="0"/>
        <w:mirrorIndents/>
        <w:rPr>
          <w:rFonts w:asciiTheme="minorEastAsia" w:hAnsiTheme="minorEastAsia"/>
          <w:sz w:val="24"/>
          <w:szCs w:val="24"/>
        </w:rPr>
      </w:pPr>
    </w:p>
    <w:p w14:paraId="21BC8A9E" w14:textId="77777777" w:rsidR="002A2133" w:rsidRPr="00C30FCF" w:rsidRDefault="002A2133" w:rsidP="002A2133">
      <w:pPr>
        <w:rPr>
          <w:rFonts w:ascii="ＭＳ ゴシック" w:eastAsia="ＭＳ ゴシック" w:hAnsi="ＭＳ ゴシック"/>
          <w:b/>
          <w:bCs/>
        </w:rPr>
      </w:pPr>
      <w:r w:rsidRPr="00C30FCF">
        <w:rPr>
          <w:rFonts w:ascii="ＭＳ ゴシック" w:eastAsia="ＭＳ ゴシック" w:hAnsi="ＭＳ ゴシック" w:hint="eastAsia"/>
          <w:b/>
          <w:bCs/>
        </w:rPr>
        <w:lastRenderedPageBreak/>
        <w:t>１．発荷主事業者・着荷主事業者に共通する取組事項</w:t>
      </w:r>
    </w:p>
    <w:p w14:paraId="591E89D7" w14:textId="77777777" w:rsidR="002A2133" w:rsidRDefault="002A2133" w:rsidP="002A2133">
      <w:pPr>
        <w:rPr>
          <w:rFonts w:ascii="ＭＳ ゴシック" w:eastAsia="ＭＳ ゴシック" w:hAnsi="ＭＳ ゴシック"/>
          <w:b/>
          <w:bCs/>
        </w:rPr>
      </w:pPr>
    </w:p>
    <w:p w14:paraId="039AF106" w14:textId="77777777" w:rsidR="002A2133" w:rsidRPr="00C30FCF" w:rsidRDefault="002A2133" w:rsidP="002A2133">
      <w:pPr>
        <w:rPr>
          <w:rFonts w:ascii="ＭＳ ゴシック" w:eastAsia="ＭＳ ゴシック" w:hAnsi="ＭＳ ゴシック"/>
          <w:b/>
          <w:bCs/>
        </w:rPr>
      </w:pPr>
      <w:r w:rsidRPr="00C30FCF">
        <w:rPr>
          <w:rFonts w:ascii="ＭＳ ゴシック" w:eastAsia="ＭＳ ゴシック" w:hAnsi="ＭＳ ゴシック" w:hint="eastAsia"/>
          <w:b/>
          <w:bCs/>
        </w:rPr>
        <w:t>（１）物流業務の効率化・合理化</w:t>
      </w:r>
    </w:p>
    <w:p w14:paraId="6A1D2694" w14:textId="77777777" w:rsidR="002A2133" w:rsidRPr="00C30FCF"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①荷待ち時間・荷役作業等にかかる時間の把握</w:t>
      </w:r>
    </w:p>
    <w:p w14:paraId="7B5DECD4" w14:textId="77777777" w:rsidR="002A2133" w:rsidRPr="00EC7A6C" w:rsidRDefault="002A2133" w:rsidP="002A2133">
      <w:pPr>
        <w:ind w:leftChars="200" w:left="420" w:firstLineChars="100" w:firstLine="210"/>
      </w:pPr>
      <w:r w:rsidRPr="00EC7A6C">
        <w:rPr>
          <w:rFonts w:hint="eastAsia"/>
        </w:rPr>
        <w:t>荷主事業者たる素形材事業者は、必要に応じて物流事業者やトラックドライバーの協力を得つつ、発荷主事業者としての出荷、着荷主事業者としての入荷に係る荷待ち時間及び荷役作業等（荷積み・荷卸し・附帯業務）にかかる時間を適切に把握することとする。</w:t>
      </w:r>
    </w:p>
    <w:p w14:paraId="5D5384E3" w14:textId="77777777" w:rsidR="002A2133" w:rsidRPr="00EC7A6C" w:rsidRDefault="002A2133" w:rsidP="002A2133">
      <w:pPr>
        <w:ind w:leftChars="200" w:left="630" w:hangingChars="100" w:hanging="210"/>
      </w:pPr>
      <w:r>
        <w:rPr>
          <w:rFonts w:hint="eastAsia"/>
        </w:rPr>
        <w:t>※</w:t>
      </w:r>
      <w:r w:rsidRPr="00EC7A6C">
        <w:rPr>
          <w:rFonts w:hint="eastAsia"/>
        </w:rPr>
        <w:t>荷待ち時間とは、集貨又は配達を行った地点（集貨地点等）における到着日時から出発日時までの時間のうち、業務（荷積み、荷卸し、附帯業務等）及び休憩に係る時間並びに物流事業者都合による早期到着による待機時間及び休憩時間を控除した時間を指す。</w:t>
      </w:r>
    </w:p>
    <w:p w14:paraId="681DECAD" w14:textId="77777777" w:rsidR="002A2133" w:rsidRPr="00EC7A6C" w:rsidRDefault="002A2133" w:rsidP="002A2133">
      <w:pPr>
        <w:ind w:leftChars="200" w:left="630" w:hangingChars="100" w:hanging="210"/>
      </w:pPr>
      <w:r>
        <w:rPr>
          <w:rFonts w:hint="eastAsia"/>
        </w:rPr>
        <w:t>※</w:t>
      </w:r>
      <w:r w:rsidRPr="00EC7A6C">
        <w:rPr>
          <w:rFonts w:hint="eastAsia"/>
        </w:rPr>
        <w:t>附帯業務とは、品代金の取立て、荷掛金の立替え、貨物の荷造り、仕分、保管、検収及び検品、横持ち及び縦持ち、棚入れ、ラベル貼り、はい作業その他の運送事業に附帯して一定の時間、技能、機器等を必要とする業務をいう。</w:t>
      </w:r>
    </w:p>
    <w:p w14:paraId="5F0D9E7C" w14:textId="77777777" w:rsidR="002A2133" w:rsidRPr="00EC7A6C" w:rsidRDefault="002A2133" w:rsidP="002A2133"/>
    <w:p w14:paraId="2885DBA2" w14:textId="77777777" w:rsidR="002A2133" w:rsidRPr="0078649C"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②荷待ち・荷役作業等の時間の短縮に向けた取組</w:t>
      </w:r>
    </w:p>
    <w:p w14:paraId="32478E80" w14:textId="1D6CA527" w:rsidR="002A2133" w:rsidRPr="00EC7A6C" w:rsidRDefault="002A2133" w:rsidP="002A2133">
      <w:pPr>
        <w:ind w:leftChars="200" w:left="420" w:firstLineChars="100" w:firstLine="210"/>
      </w:pPr>
      <w:r w:rsidRPr="00EC7A6C">
        <w:rPr>
          <w:rFonts w:hint="eastAsia"/>
        </w:rPr>
        <w:t>荷主事業者たる素形材事業者は、物流事業者に対し、長時間の荷待ちや、運送契約にない運転等以外の荷役作業等をさせないよう、徹底することとする。</w:t>
      </w:r>
    </w:p>
    <w:p w14:paraId="7E328443" w14:textId="1DCF50EC" w:rsidR="002A2133" w:rsidRPr="00EC7A6C" w:rsidRDefault="002A2133" w:rsidP="002A2133">
      <w:pPr>
        <w:ind w:leftChars="200" w:left="420" w:firstLineChars="100" w:firstLine="210"/>
      </w:pPr>
      <w:r w:rsidRPr="00EC7A6C">
        <w:rPr>
          <w:rFonts w:hint="eastAsia"/>
        </w:rPr>
        <w:t>また、荷主事業者たる素形材事業者は、荷待ち、荷役作業等にかかる時間について、後述する取組等を通じて、安全性の確保を大前提として、平均２時間以内を目指す。その上で、荷待ち、荷役作業等にかかる時間が２時間以内を達成した、あるいは既に２時間以内となっている場合には、更なる時間短縮に向けた取組に努めるものとする。</w:t>
      </w:r>
    </w:p>
    <w:p w14:paraId="7308EE48" w14:textId="77777777" w:rsidR="002A2133" w:rsidRPr="00EC7A6C" w:rsidRDefault="002A2133" w:rsidP="002A2133">
      <w:pPr>
        <w:ind w:leftChars="200" w:left="420" w:firstLineChars="100" w:firstLine="210"/>
      </w:pPr>
      <w:r w:rsidRPr="00EC7A6C">
        <w:rPr>
          <w:rFonts w:hint="eastAsia"/>
        </w:rPr>
        <w:t>なお、安全性の確保や養生等の作業の必要がある大型の製品・機械設備等については、２時間以内とする目標の達成が困難なことも想定されるが、その場合であっても可能な限り時間短縮に努めるものとする。</w:t>
      </w:r>
    </w:p>
    <w:p w14:paraId="38AA2862" w14:textId="77777777" w:rsidR="002A2133" w:rsidRPr="00EC7A6C" w:rsidRDefault="002A2133" w:rsidP="002A2133">
      <w:pPr>
        <w:ind w:leftChars="200" w:left="420" w:firstLineChars="100" w:firstLine="210"/>
      </w:pPr>
      <w:r w:rsidRPr="00EC7A6C">
        <w:rPr>
          <w:rFonts w:hint="eastAsia"/>
        </w:rPr>
        <w:t>加えて、物流事業者が貨物自動車運送事業法（平成元年法律第</w:t>
      </w:r>
      <w:r w:rsidRPr="00EC7A6C">
        <w:rPr>
          <w:rFonts w:hint="eastAsia"/>
        </w:rPr>
        <w:t>83</w:t>
      </w:r>
      <w:r w:rsidRPr="00EC7A6C">
        <w:rPr>
          <w:rFonts w:hint="eastAsia"/>
        </w:rPr>
        <w:t>号）等の関係法令及び法令に基づく命令を遵守して事業を遂行することができるよう、荷主事業者たる素形材事業者においても</w:t>
      </w:r>
      <w:r w:rsidRPr="004340AE">
        <w:rPr>
          <w:rFonts w:hint="eastAsia"/>
        </w:rPr>
        <w:t>関係部門に対する</w:t>
      </w:r>
      <w:r w:rsidRPr="00EC7A6C">
        <w:rPr>
          <w:rFonts w:hint="eastAsia"/>
        </w:rPr>
        <w:t>関係法令に関する社内教育を徹底するなど必要な取組を行うこととする。</w:t>
      </w:r>
      <w:r w:rsidRPr="00EC7A6C">
        <w:t xml:space="preserve"> </w:t>
      </w:r>
    </w:p>
    <w:p w14:paraId="72DC048D" w14:textId="77777777" w:rsidR="002A2133" w:rsidRPr="00EC7A6C" w:rsidRDefault="002A2133" w:rsidP="002A2133">
      <w:pPr>
        <w:ind w:leftChars="200" w:left="630" w:hangingChars="100" w:hanging="210"/>
      </w:pPr>
      <w:r>
        <w:rPr>
          <w:rFonts w:hint="eastAsia"/>
        </w:rPr>
        <w:t>※</w:t>
      </w:r>
      <w:r w:rsidRPr="00EC7A6C">
        <w:rPr>
          <w:rFonts w:hint="eastAsia"/>
        </w:rPr>
        <w:t>トラックドライバーの１運行の平均拘束時間のうち、荷待ち、荷役作業等にかかる時間は計約３時間と推計されており、これを各荷主事業者の取組によって１時間以上短縮することが全産業の目標として求められている。</w:t>
      </w:r>
    </w:p>
    <w:p w14:paraId="7DA783F7" w14:textId="77777777" w:rsidR="002A2133" w:rsidRPr="00EC7A6C" w:rsidRDefault="002A2133" w:rsidP="002A2133"/>
    <w:p w14:paraId="1E7E868E" w14:textId="77777777" w:rsidR="002A2133" w:rsidRPr="0078649C"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③物流管理統括者の選定</w:t>
      </w:r>
    </w:p>
    <w:p w14:paraId="76FCB7BF" w14:textId="27E5A240" w:rsidR="002A2133" w:rsidRPr="00EC7A6C" w:rsidRDefault="002A2133" w:rsidP="002A2133">
      <w:pPr>
        <w:ind w:leftChars="200" w:left="420" w:firstLineChars="100" w:firstLine="210"/>
      </w:pPr>
      <w:r w:rsidRPr="00EC7A6C">
        <w:rPr>
          <w:rFonts w:hint="eastAsia"/>
        </w:rPr>
        <w:t>荷主事業者たる素形材事業者は、物流の適正化・生産性向上に向けた取組を事業者内において総合的に実施・管理するため、事業者規模や荷量等を踏まえて、物流業務の実施を統括管理する者（</w:t>
      </w:r>
      <w:r w:rsidRPr="004340AE">
        <w:rPr>
          <w:rFonts w:hint="eastAsia"/>
        </w:rPr>
        <w:t>役員</w:t>
      </w:r>
      <w:r w:rsidRPr="00EC7A6C">
        <w:rPr>
          <w:rFonts w:hint="eastAsia"/>
        </w:rPr>
        <w:t>等）を物流管理統括者として選任し、当該物流管理統括者は、物流の適正化・生産性向上に向けた取組の</w:t>
      </w:r>
      <w:r w:rsidRPr="004340AE">
        <w:rPr>
          <w:rFonts w:hint="eastAsia"/>
        </w:rPr>
        <w:t>責任</w:t>
      </w:r>
      <w:r w:rsidRPr="00EC7A6C">
        <w:rPr>
          <w:rFonts w:hint="eastAsia"/>
        </w:rPr>
        <w:t>者として、販売部門、調達部門等の他部門との</w:t>
      </w:r>
      <w:bookmarkStart w:id="0" w:name="_Hlk138405892"/>
      <w:r w:rsidRPr="00EC7A6C">
        <w:rPr>
          <w:rFonts w:hint="eastAsia"/>
        </w:rPr>
        <w:t>交渉・調整</w:t>
      </w:r>
      <w:bookmarkEnd w:id="0"/>
      <w:r w:rsidRPr="00EC7A6C">
        <w:rPr>
          <w:rFonts w:hint="eastAsia"/>
        </w:rPr>
        <w:t>を行うなど積極的な取組に努めるものとする。</w:t>
      </w:r>
    </w:p>
    <w:p w14:paraId="58220323" w14:textId="77777777" w:rsidR="002A2133" w:rsidRPr="00EC7A6C" w:rsidRDefault="002A2133" w:rsidP="002A2133"/>
    <w:p w14:paraId="2BDF2D28" w14:textId="77777777" w:rsidR="002A2133" w:rsidRPr="0078649C"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④物流の改善提案と協力</w:t>
      </w:r>
    </w:p>
    <w:p w14:paraId="2BD43066" w14:textId="77777777" w:rsidR="002A2133" w:rsidRPr="00EC7A6C" w:rsidRDefault="002A2133" w:rsidP="002A2133">
      <w:pPr>
        <w:ind w:leftChars="200" w:left="420" w:firstLineChars="100" w:firstLine="210"/>
      </w:pPr>
      <w:r w:rsidRPr="00EC7A6C">
        <w:rPr>
          <w:rFonts w:hint="eastAsia"/>
        </w:rPr>
        <w:t>発荷主事業者・着荷主事業者の商取引契約において物流に過度な負担をかけているものがないか、契約当事者双方の相互協力の下で検討し、必要な改善を行うこととする。</w:t>
      </w:r>
    </w:p>
    <w:p w14:paraId="06517CDE" w14:textId="77777777" w:rsidR="002A2133" w:rsidRPr="00EC7A6C" w:rsidRDefault="002A2133" w:rsidP="002A2133">
      <w:pPr>
        <w:ind w:leftChars="200" w:left="420" w:firstLineChars="100" w:firstLine="210"/>
      </w:pPr>
      <w:r w:rsidRPr="00EC7A6C">
        <w:rPr>
          <w:rFonts w:hint="eastAsia"/>
        </w:rPr>
        <w:lastRenderedPageBreak/>
        <w:t>また、取引先や物流事業者から、荷待ち時間やトラックドライバー等の手作業での荷積み・荷卸しの削減、附帯業務の合理化等について要請があった場合は、真摯に協議に応じるとともに、自らも積極的に提案を行うこととする。</w:t>
      </w:r>
    </w:p>
    <w:p w14:paraId="7F3012E2" w14:textId="77777777" w:rsidR="002A2133" w:rsidRPr="00EC7A6C" w:rsidRDefault="002A2133" w:rsidP="002A2133"/>
    <w:p w14:paraId="725157D1" w14:textId="77777777" w:rsidR="002A2133" w:rsidRPr="0078649C" w:rsidRDefault="002A2133" w:rsidP="002A2133">
      <w:pPr>
        <w:ind w:leftChars="100" w:left="420" w:hangingChars="100" w:hanging="210"/>
        <w:rPr>
          <w:rFonts w:ascii="ＭＳ ゴシック" w:eastAsia="ＭＳ ゴシック" w:hAnsi="ＭＳ ゴシック"/>
        </w:rPr>
      </w:pPr>
      <w:r w:rsidRPr="0078649C">
        <w:rPr>
          <w:rFonts w:ascii="ＭＳ ゴシック" w:eastAsia="ＭＳ ゴシック" w:hAnsi="ＭＳ ゴシック" w:hint="eastAsia"/>
        </w:rPr>
        <w:t>⑤その他の荷待ち時間・荷役作業等にかかる時間の短縮に向けた取組</w:t>
      </w:r>
    </w:p>
    <w:p w14:paraId="35A2E689" w14:textId="77777777" w:rsidR="002A2133" w:rsidRPr="00EC7A6C" w:rsidRDefault="002A2133" w:rsidP="002A2133">
      <w:pPr>
        <w:ind w:leftChars="200" w:left="420" w:firstLineChars="100" w:firstLine="210"/>
      </w:pPr>
      <w:r w:rsidRPr="00EC7A6C">
        <w:rPr>
          <w:rFonts w:hint="eastAsia"/>
        </w:rPr>
        <w:t>荷主事業者たる素形材事業者において、例えば、以下のような取組について、個別の素形材事業者毎の状況を踏まえて、有効性や生産性向上に資することが確認されれば、積極的に取組を推進するものとする。</w:t>
      </w:r>
    </w:p>
    <w:p w14:paraId="4572E81E" w14:textId="77777777" w:rsidR="002A2133" w:rsidRPr="00EC7A6C" w:rsidRDefault="002A2133" w:rsidP="002A2133"/>
    <w:p w14:paraId="643F9246" w14:textId="77777777" w:rsidR="002A2133" w:rsidRPr="0078649C" w:rsidRDefault="002A2133" w:rsidP="002A2133">
      <w:pPr>
        <w:ind w:firstLineChars="200" w:firstLine="420"/>
        <w:rPr>
          <w:rFonts w:ascii="ＭＳ ゴシック" w:eastAsia="ＭＳ ゴシック" w:hAnsi="ＭＳ ゴシック"/>
        </w:rPr>
      </w:pPr>
      <w:r w:rsidRPr="00372FB8">
        <w:rPr>
          <w:rFonts w:ascii="ＭＳ ゴシック" w:eastAsia="ＭＳ ゴシック" w:hAnsi="ＭＳ ゴシック" w:hint="eastAsia"/>
        </w:rPr>
        <w:t>a</w:t>
      </w:r>
      <w:r w:rsidRPr="00372FB8">
        <w:rPr>
          <w:rFonts w:ascii="ＭＳ ゴシック" w:eastAsia="ＭＳ ゴシック" w:hAnsi="ＭＳ ゴシック"/>
        </w:rPr>
        <w:t>)</w:t>
      </w:r>
      <w:r w:rsidRPr="00372FB8">
        <w:rPr>
          <w:rFonts w:ascii="ＭＳ ゴシック" w:eastAsia="ＭＳ ゴシック" w:hAnsi="ＭＳ ゴシック" w:hint="eastAsia"/>
        </w:rPr>
        <w:t>予約受付システムの導入</w:t>
      </w:r>
    </w:p>
    <w:p w14:paraId="75DB7D4A" w14:textId="7E60F4D9" w:rsidR="002A2133" w:rsidRPr="00EC7A6C" w:rsidRDefault="002A2133" w:rsidP="002A2133">
      <w:pPr>
        <w:ind w:leftChars="300" w:left="630" w:firstLineChars="100" w:firstLine="210"/>
      </w:pPr>
      <w:r w:rsidRPr="00EC7A6C">
        <w:rPr>
          <w:rFonts w:hint="eastAsia"/>
        </w:rPr>
        <w:t>トラックの予約受付システムを活用することで、より効率的な物流が可能となることが見込まれ、</w:t>
      </w:r>
      <w:r w:rsidRPr="004340AE">
        <w:rPr>
          <w:rFonts w:hint="eastAsia"/>
        </w:rPr>
        <w:t>かつ、</w:t>
      </w:r>
      <w:r w:rsidRPr="00EC7A6C">
        <w:rPr>
          <w:rFonts w:hint="eastAsia"/>
        </w:rPr>
        <w:t>費用対効果等</w:t>
      </w:r>
      <w:r w:rsidRPr="004340AE">
        <w:rPr>
          <w:rFonts w:hint="eastAsia"/>
        </w:rPr>
        <w:t>の面でも効果的な場合には、物流事業者との合意の下に当</w:t>
      </w:r>
      <w:r w:rsidRPr="00EC7A6C">
        <w:rPr>
          <w:rFonts w:hint="eastAsia"/>
        </w:rPr>
        <w:t>該システムを導入し、荷待ち時間の短縮を図ることとする。</w:t>
      </w:r>
    </w:p>
    <w:p w14:paraId="00627560" w14:textId="77777777" w:rsidR="002A2133" w:rsidRPr="00EC7A6C" w:rsidRDefault="002A2133" w:rsidP="002A2133"/>
    <w:p w14:paraId="5C3D9028" w14:textId="77777777" w:rsidR="002A2133" w:rsidRPr="0078649C" w:rsidRDefault="002A2133" w:rsidP="002A2133">
      <w:pPr>
        <w:ind w:firstLineChars="200" w:firstLine="420"/>
        <w:rPr>
          <w:rFonts w:ascii="ＭＳ ゴシック" w:eastAsia="ＭＳ ゴシック" w:hAnsi="ＭＳ ゴシック"/>
        </w:rPr>
      </w:pPr>
      <w:r w:rsidRPr="00372FB8">
        <w:rPr>
          <w:rFonts w:ascii="ＭＳ ゴシック" w:eastAsia="ＭＳ ゴシック" w:hAnsi="ＭＳ ゴシック" w:hint="eastAsia"/>
        </w:rPr>
        <w:t>b</w:t>
      </w:r>
      <w:r w:rsidRPr="00372FB8">
        <w:rPr>
          <w:rFonts w:ascii="ＭＳ ゴシック" w:eastAsia="ＭＳ ゴシック" w:hAnsi="ＭＳ ゴシック"/>
        </w:rPr>
        <w:t>)</w:t>
      </w:r>
      <w:r w:rsidRPr="00372FB8">
        <w:rPr>
          <w:rFonts w:ascii="ＭＳ ゴシック" w:eastAsia="ＭＳ ゴシック" w:hAnsi="ＭＳ ゴシック" w:hint="eastAsia"/>
        </w:rPr>
        <w:t>パレット等の活用</w:t>
      </w:r>
    </w:p>
    <w:p w14:paraId="40D035C9" w14:textId="076E6593" w:rsidR="002A2133" w:rsidRPr="00EC7A6C" w:rsidRDefault="002A2133" w:rsidP="002A2133">
      <w:pPr>
        <w:ind w:leftChars="300" w:left="630" w:firstLineChars="100" w:firstLine="210"/>
      </w:pPr>
      <w:r w:rsidRPr="00EC7A6C">
        <w:rPr>
          <w:rFonts w:hint="eastAsia"/>
        </w:rPr>
        <w:t>貨物特性を踏まえ、パレット、カゴ台車、折りたたみコンテナ、通い箱等を活用し、荷役作業等にかかる時間の削減に努める</w:t>
      </w:r>
      <w:r w:rsidR="004340AE">
        <w:rPr>
          <w:rFonts w:hint="eastAsia"/>
        </w:rPr>
        <w:t>。</w:t>
      </w:r>
      <w:r w:rsidRPr="00EC7A6C">
        <w:rPr>
          <w:rFonts w:hint="eastAsia"/>
        </w:rPr>
        <w:t>取引先や物流事業者からパレット等の活用について提案があった場合には、協議に応じるとともに、貨物特性を踏まえた上で、積極的なパレット等の活用を検討するものとする。</w:t>
      </w:r>
    </w:p>
    <w:p w14:paraId="0EAC2D6C" w14:textId="77777777" w:rsidR="002A2133" w:rsidRPr="00EC7A6C" w:rsidRDefault="002A2133" w:rsidP="002A2133"/>
    <w:p w14:paraId="7E57540F" w14:textId="77777777" w:rsidR="002A2133" w:rsidRPr="0078649C" w:rsidRDefault="002A2133" w:rsidP="002A2133">
      <w:pPr>
        <w:ind w:firstLineChars="200" w:firstLine="420"/>
        <w:rPr>
          <w:rFonts w:ascii="ＭＳ ゴシック" w:eastAsia="ＭＳ ゴシック" w:hAnsi="ＭＳ ゴシック"/>
        </w:rPr>
      </w:pPr>
      <w:r w:rsidRPr="00372FB8">
        <w:rPr>
          <w:rFonts w:ascii="ＭＳ ゴシック" w:eastAsia="ＭＳ ゴシック" w:hAnsi="ＭＳ ゴシック" w:hint="eastAsia"/>
        </w:rPr>
        <w:t>c</w:t>
      </w:r>
      <w:r w:rsidRPr="00372FB8">
        <w:rPr>
          <w:rFonts w:ascii="ＭＳ ゴシック" w:eastAsia="ＭＳ ゴシック" w:hAnsi="ＭＳ ゴシック"/>
        </w:rPr>
        <w:t>)</w:t>
      </w:r>
      <w:r w:rsidRPr="00372FB8">
        <w:rPr>
          <w:rFonts w:ascii="ＭＳ ゴシック" w:eastAsia="ＭＳ ゴシック" w:hAnsi="ＭＳ ゴシック" w:hint="eastAsia"/>
        </w:rPr>
        <w:t>入出荷業務の効率化に資する機材等の配置</w:t>
      </w:r>
    </w:p>
    <w:p w14:paraId="7740BCC1" w14:textId="77777777" w:rsidR="002A2133" w:rsidRPr="00EC7A6C" w:rsidRDefault="002A2133" w:rsidP="002A2133">
      <w:pPr>
        <w:ind w:leftChars="300" w:left="630" w:firstLineChars="100" w:firstLine="210"/>
      </w:pPr>
      <w:r w:rsidRPr="00EC7A6C">
        <w:rPr>
          <w:rFonts w:hint="eastAsia"/>
        </w:rPr>
        <w:t>指定時間に着車したトラックにおいて、フォークリフト作業員待ち等の荷待ち時間が発生しないよう、適正な数のフォークリフトやフォークリフト作業員等、荷役に必要な機材・人員の配置に努めることとする。また、入出荷業務の効率化を進めるためデジタル化・自動化・機械化に努めることとする。</w:t>
      </w:r>
    </w:p>
    <w:p w14:paraId="09963B51" w14:textId="77777777" w:rsidR="002A2133" w:rsidRPr="00EC7A6C" w:rsidRDefault="002A2133" w:rsidP="002A2133"/>
    <w:p w14:paraId="636E47FF" w14:textId="77777777" w:rsidR="002A2133" w:rsidRPr="009E3213" w:rsidRDefault="002A2133" w:rsidP="002A2133">
      <w:pPr>
        <w:ind w:firstLineChars="200" w:firstLine="420"/>
        <w:rPr>
          <w:rFonts w:ascii="ＭＳ ゴシック" w:eastAsia="ＭＳ ゴシック" w:hAnsi="ＭＳ ゴシック"/>
        </w:rPr>
      </w:pPr>
      <w:r w:rsidRPr="00372FB8">
        <w:rPr>
          <w:rFonts w:ascii="ＭＳ ゴシック" w:eastAsia="ＭＳ ゴシック" w:hAnsi="ＭＳ ゴシック"/>
        </w:rPr>
        <w:t>d)</w:t>
      </w:r>
      <w:r w:rsidRPr="00372FB8">
        <w:rPr>
          <w:rFonts w:ascii="ＭＳ ゴシック" w:eastAsia="ＭＳ ゴシック" w:hAnsi="ＭＳ ゴシック" w:hint="eastAsia"/>
        </w:rPr>
        <w:t>検品の効率化・検品水準の適正化</w:t>
      </w:r>
    </w:p>
    <w:p w14:paraId="18CCFCF9" w14:textId="77777777" w:rsidR="002A2133" w:rsidRPr="00EC7A6C" w:rsidRDefault="002A2133" w:rsidP="002A2133">
      <w:pPr>
        <w:ind w:leftChars="300" w:left="630" w:firstLineChars="100" w:firstLine="210"/>
      </w:pPr>
      <w:r w:rsidRPr="00EC7A6C">
        <w:rPr>
          <w:rFonts w:hint="eastAsia"/>
        </w:rPr>
        <w:t>検品方法（納品伝票の電子化、検品レス化、サンプル検品化、事後検品化等）や返品条件（輸送用の外装段ボールの汚れ、擦り傷があっても販売する商品に影響がなければ返品しない）等</w:t>
      </w:r>
      <w:r w:rsidRPr="004340AE">
        <w:rPr>
          <w:rFonts w:hint="eastAsia"/>
        </w:rPr>
        <w:t>の明確な取り決めを行った上で、</w:t>
      </w:r>
      <w:r w:rsidRPr="00EC7A6C">
        <w:rPr>
          <w:rFonts w:hint="eastAsia"/>
        </w:rPr>
        <w:t>検品の効率化・検品の適正化を推進し、返品に伴う輸送や検品に伴う拘束時間の削減に努めることとする。</w:t>
      </w:r>
    </w:p>
    <w:p w14:paraId="0B118F30" w14:textId="77777777" w:rsidR="002A2133" w:rsidRPr="00EC7A6C" w:rsidRDefault="002A2133" w:rsidP="002A2133"/>
    <w:p w14:paraId="3BAED6CA" w14:textId="77777777" w:rsidR="002A2133" w:rsidRPr="009E3213" w:rsidRDefault="002A2133" w:rsidP="002A2133">
      <w:pPr>
        <w:ind w:firstLineChars="200" w:firstLine="420"/>
        <w:rPr>
          <w:rFonts w:ascii="ＭＳ ゴシック" w:eastAsia="ＭＳ ゴシック" w:hAnsi="ＭＳ ゴシック"/>
        </w:rPr>
      </w:pPr>
      <w:r w:rsidRPr="00372FB8">
        <w:rPr>
          <w:rFonts w:ascii="ＭＳ ゴシック" w:eastAsia="ＭＳ ゴシック" w:hAnsi="ＭＳ ゴシック" w:hint="eastAsia"/>
        </w:rPr>
        <w:t>e</w:t>
      </w:r>
      <w:r w:rsidRPr="00372FB8">
        <w:rPr>
          <w:rFonts w:ascii="ＭＳ ゴシック" w:eastAsia="ＭＳ ゴシック" w:hAnsi="ＭＳ ゴシック"/>
        </w:rPr>
        <w:t>)</w:t>
      </w:r>
      <w:r w:rsidRPr="00372FB8">
        <w:rPr>
          <w:rFonts w:ascii="ＭＳ ゴシック" w:eastAsia="ＭＳ ゴシック" w:hAnsi="ＭＳ ゴシック" w:hint="eastAsia"/>
        </w:rPr>
        <w:t>物流システムや資機材（パレット等）の標準化</w:t>
      </w:r>
    </w:p>
    <w:p w14:paraId="3D72DF9F" w14:textId="24510BB3" w:rsidR="002A2133" w:rsidRPr="00EC7A6C" w:rsidRDefault="0028475F" w:rsidP="002A2133">
      <w:pPr>
        <w:ind w:leftChars="300" w:left="630" w:firstLineChars="100" w:firstLine="210"/>
      </w:pPr>
      <w:r w:rsidRPr="00EC7A6C">
        <w:rPr>
          <w:rFonts w:hint="eastAsia"/>
        </w:rPr>
        <w:t>貨物特性を踏まえた上で可能な限り</w:t>
      </w:r>
      <w:r w:rsidR="002A2133" w:rsidRPr="00EC7A6C">
        <w:rPr>
          <w:rFonts w:hint="eastAsia"/>
        </w:rPr>
        <w:t>物流に係るデータ・システムの仕様やパレットの規格等について、標準化を推進することとする。また、取引先や物流事業者からデータ・システムの仕様やパレットの規格等の標準化について要請があった場合は、真摯に協議に応じる</w:t>
      </w:r>
      <w:r>
        <w:rPr>
          <w:rFonts w:hint="eastAsia"/>
        </w:rPr>
        <w:t>とともに、必要に応じて自らも提案を行う</w:t>
      </w:r>
      <w:r w:rsidR="002A2133" w:rsidRPr="00EC7A6C">
        <w:rPr>
          <w:rFonts w:hint="eastAsia"/>
        </w:rPr>
        <w:t>こととする。</w:t>
      </w:r>
    </w:p>
    <w:p w14:paraId="7AF9A13D" w14:textId="4846EC4D" w:rsidR="002A2133" w:rsidRDefault="002A2133" w:rsidP="002A2133">
      <w:pPr>
        <w:ind w:leftChars="300" w:left="630" w:firstLineChars="100" w:firstLine="210"/>
      </w:pPr>
      <w:r w:rsidRPr="00EC7A6C">
        <w:rPr>
          <w:rFonts w:hint="eastAsia"/>
        </w:rPr>
        <w:t>なお、パレットの導入及び標準化に当たっては、平面サイズ</w:t>
      </w:r>
      <w:r w:rsidRPr="00EC7A6C">
        <w:rPr>
          <w:rFonts w:hint="eastAsia"/>
        </w:rPr>
        <w:t>1</w:t>
      </w:r>
      <w:r w:rsidRPr="00EC7A6C">
        <w:t>,100</w:t>
      </w:r>
      <w:r w:rsidRPr="00EC7A6C">
        <w:rPr>
          <w:rFonts w:hint="eastAsia"/>
        </w:rPr>
        <w:t>㎜×</w:t>
      </w:r>
      <w:r w:rsidRPr="00EC7A6C">
        <w:rPr>
          <w:rFonts w:hint="eastAsia"/>
        </w:rPr>
        <w:t>1</w:t>
      </w:r>
      <w:r w:rsidRPr="00EC7A6C">
        <w:t>,100</w:t>
      </w:r>
      <w:r w:rsidRPr="00EC7A6C">
        <w:rPr>
          <w:rFonts w:hint="eastAsia"/>
        </w:rPr>
        <w:t>㎜のパレットの採用可能性も念頭に置きつつ、貨物特性を踏まえて検討するものとする。</w:t>
      </w:r>
    </w:p>
    <w:p w14:paraId="31C51C47" w14:textId="77777777" w:rsidR="002A2133" w:rsidRPr="00EC7A6C" w:rsidRDefault="002A2133" w:rsidP="002A2133"/>
    <w:p w14:paraId="71DAA4E9" w14:textId="77777777" w:rsidR="002A2133" w:rsidRPr="009E3213" w:rsidRDefault="002A2133" w:rsidP="002A2133">
      <w:pPr>
        <w:ind w:firstLineChars="200" w:firstLine="420"/>
        <w:rPr>
          <w:rFonts w:ascii="ＭＳ ゴシック" w:eastAsia="ＭＳ ゴシック" w:hAnsi="ＭＳ ゴシック"/>
        </w:rPr>
      </w:pPr>
      <w:r w:rsidRPr="00372FB8">
        <w:rPr>
          <w:rFonts w:ascii="ＭＳ ゴシック" w:eastAsia="ＭＳ ゴシック" w:hAnsi="ＭＳ ゴシック" w:hint="eastAsia"/>
        </w:rPr>
        <w:t>f</w:t>
      </w:r>
      <w:r w:rsidRPr="00372FB8">
        <w:rPr>
          <w:rFonts w:ascii="ＭＳ ゴシック" w:eastAsia="ＭＳ ゴシック" w:hAnsi="ＭＳ ゴシック"/>
        </w:rPr>
        <w:t>)</w:t>
      </w:r>
      <w:r w:rsidRPr="00372FB8">
        <w:rPr>
          <w:rFonts w:ascii="ＭＳ ゴシック" w:eastAsia="ＭＳ ゴシック" w:hAnsi="ＭＳ ゴシック" w:hint="eastAsia"/>
        </w:rPr>
        <w:t>輸送方法・輸送場所の変更による輸送距離の短縮</w:t>
      </w:r>
    </w:p>
    <w:p w14:paraId="6BF565AB" w14:textId="77777777" w:rsidR="002A2133" w:rsidRPr="00EC7A6C" w:rsidRDefault="002A2133" w:rsidP="002A2133">
      <w:pPr>
        <w:ind w:leftChars="300" w:left="630" w:firstLineChars="100" w:firstLine="210"/>
      </w:pPr>
      <w:r w:rsidRPr="00EC7A6C">
        <w:rPr>
          <w:rFonts w:hint="eastAsia"/>
        </w:rPr>
        <w:t>トラック輸送の輸送距離を短縮し、トラックドライバーの拘束時間を削減するためには着荷主事業者や</w:t>
      </w:r>
      <w:r w:rsidRPr="00EC7A6C">
        <w:rPr>
          <w:rFonts w:hint="eastAsia"/>
        </w:rPr>
        <w:lastRenderedPageBreak/>
        <w:t>その先の取引先の理解も不可欠であるところ、必要に応じて物流事業者とも協議しつつ、長距離輸送におけるモーダルシフト、幹線輸送部分と集荷配送部分の分離、集荷先・配送先の集約等の検討・実施を行う</w:t>
      </w:r>
      <w:r w:rsidRPr="004340AE">
        <w:rPr>
          <w:rFonts w:hint="eastAsia"/>
        </w:rPr>
        <w:t>よう努める</w:t>
      </w:r>
      <w:r w:rsidRPr="00EC7A6C">
        <w:rPr>
          <w:rFonts w:hint="eastAsia"/>
        </w:rPr>
        <w:t>ものとする。</w:t>
      </w:r>
    </w:p>
    <w:p w14:paraId="404A4808" w14:textId="77777777" w:rsidR="002A2133" w:rsidRPr="00EC7A6C" w:rsidRDefault="002A2133" w:rsidP="002A2133"/>
    <w:p w14:paraId="7CBA3EEF" w14:textId="77777777" w:rsidR="002A2133" w:rsidRPr="000B3C46" w:rsidRDefault="002A2133" w:rsidP="002A2133">
      <w:pPr>
        <w:ind w:firstLineChars="200" w:firstLine="420"/>
        <w:rPr>
          <w:rFonts w:ascii="ＭＳ ゴシック" w:eastAsia="ＭＳ ゴシック" w:hAnsi="ＭＳ ゴシック"/>
        </w:rPr>
      </w:pPr>
      <w:r w:rsidRPr="00372FB8">
        <w:rPr>
          <w:rFonts w:ascii="ＭＳ ゴシック" w:eastAsia="ＭＳ ゴシック" w:hAnsi="ＭＳ ゴシック" w:hint="eastAsia"/>
        </w:rPr>
        <w:t>g</w:t>
      </w:r>
      <w:r w:rsidRPr="00372FB8">
        <w:rPr>
          <w:rFonts w:ascii="ＭＳ ゴシック" w:eastAsia="ＭＳ ゴシック" w:hAnsi="ＭＳ ゴシック"/>
        </w:rPr>
        <w:t>)</w:t>
      </w:r>
      <w:r w:rsidRPr="00372FB8">
        <w:rPr>
          <w:rFonts w:ascii="ＭＳ ゴシック" w:eastAsia="ＭＳ ゴシック" w:hAnsi="ＭＳ ゴシック" w:hint="eastAsia"/>
        </w:rPr>
        <w:t>共同輸配送の推進等による積載率の向上</w:t>
      </w:r>
    </w:p>
    <w:p w14:paraId="100D4379" w14:textId="0B8C2EF7" w:rsidR="002A2133" w:rsidRPr="00EC7A6C" w:rsidRDefault="002A2133" w:rsidP="002A2133">
      <w:pPr>
        <w:ind w:leftChars="300" w:left="630" w:firstLineChars="100" w:firstLine="210"/>
      </w:pPr>
      <w:r w:rsidRPr="00EC7A6C">
        <w:rPr>
          <w:rFonts w:hint="eastAsia"/>
        </w:rPr>
        <w:t>貨物の輸送単位が小さい場合には、物流事業者の要請等も踏まえて、物流事業者への積合せ輸送の実施</w:t>
      </w:r>
      <w:r w:rsidRPr="004340AE">
        <w:rPr>
          <w:rFonts w:hint="eastAsia"/>
        </w:rPr>
        <w:t>など</w:t>
      </w:r>
      <w:r w:rsidRPr="00EC7A6C">
        <w:rPr>
          <w:rFonts w:hint="eastAsia"/>
        </w:rPr>
        <w:t>により、積載率の向上に努めるものとする。</w:t>
      </w:r>
    </w:p>
    <w:p w14:paraId="67E23B1E" w14:textId="77777777" w:rsidR="002A2133" w:rsidRPr="00EC7A6C" w:rsidRDefault="002A2133" w:rsidP="002A2133"/>
    <w:p w14:paraId="66941E23" w14:textId="77777777" w:rsidR="002A2133" w:rsidRPr="00EC7A6C" w:rsidRDefault="002A2133" w:rsidP="002A2133"/>
    <w:p w14:paraId="30630284" w14:textId="77777777" w:rsidR="002A2133" w:rsidRPr="000B3C46" w:rsidRDefault="002A2133" w:rsidP="002A2133">
      <w:pPr>
        <w:rPr>
          <w:rFonts w:ascii="ＭＳ ゴシック" w:eastAsia="ＭＳ ゴシック" w:hAnsi="ＭＳ ゴシック"/>
          <w:b/>
          <w:bCs/>
        </w:rPr>
      </w:pPr>
      <w:r w:rsidRPr="000B3C46">
        <w:rPr>
          <w:rFonts w:ascii="ＭＳ ゴシック" w:eastAsia="ＭＳ ゴシック" w:hAnsi="ＭＳ ゴシック" w:hint="eastAsia"/>
          <w:b/>
          <w:bCs/>
        </w:rPr>
        <w:t>（２）運送契約の適正化</w:t>
      </w:r>
    </w:p>
    <w:p w14:paraId="61643F51" w14:textId="77777777" w:rsidR="002A2133" w:rsidRPr="00372FB8"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①運送契約の書面化</w:t>
      </w:r>
    </w:p>
    <w:p w14:paraId="5DDDFD8F" w14:textId="77777777" w:rsidR="002A2133" w:rsidRPr="00372FB8" w:rsidRDefault="002A2133" w:rsidP="002A2133">
      <w:pPr>
        <w:ind w:leftChars="200" w:left="420" w:firstLineChars="100" w:firstLine="210"/>
      </w:pPr>
      <w:r w:rsidRPr="00372FB8">
        <w:rPr>
          <w:rFonts w:hint="eastAsia"/>
        </w:rPr>
        <w:t>運送契約は書面又はメール等の電磁的方法を原則とする。</w:t>
      </w:r>
    </w:p>
    <w:p w14:paraId="28554FCF" w14:textId="77777777" w:rsidR="002A2133" w:rsidRPr="00372FB8" w:rsidRDefault="002A2133" w:rsidP="002A2133"/>
    <w:p w14:paraId="6BE39183" w14:textId="77777777" w:rsidR="002A2133" w:rsidRPr="00372FB8"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②荷役作業等に係る対価</w:t>
      </w:r>
      <w:bookmarkStart w:id="1" w:name="_Hlk136021831"/>
    </w:p>
    <w:p w14:paraId="14523C37" w14:textId="77777777" w:rsidR="002A2133" w:rsidRPr="00372FB8" w:rsidRDefault="002A2133" w:rsidP="002A2133">
      <w:pPr>
        <w:ind w:leftChars="200" w:left="420" w:firstLineChars="100" w:firstLine="210"/>
      </w:pPr>
      <w:r w:rsidRPr="00372FB8">
        <w:rPr>
          <w:rFonts w:hint="eastAsia"/>
        </w:rPr>
        <w:t>荷主事業者たる素形材事業者は、運送契約を締結するに当たり、トラックドライバーが行う荷役作業等の必要性を確認し、必要がある場合にはその内容、料金及び料金を支払う者を当該契約において予め明確化するものとする。また、当該契約に基づき、物流事業者に対し、当該荷役作業等に係る適正な料金を対価として支払うものとする。</w:t>
      </w:r>
    </w:p>
    <w:p w14:paraId="31DCB391" w14:textId="77777777" w:rsidR="002A2133" w:rsidRPr="00372FB8" w:rsidRDefault="002A2133" w:rsidP="002A2133">
      <w:pPr>
        <w:ind w:leftChars="200" w:left="420"/>
      </w:pPr>
      <w:r w:rsidRPr="00372FB8">
        <w:rPr>
          <w:rFonts w:hint="eastAsia"/>
        </w:rPr>
        <w:t xml:space="preserve">　自ら運送契約を行わない荷主事業者においても、取引先から運送契約において定められた荷役作業等を確認し、当該荷役作業が運送契約にないものであった場合も、発・着荷主事業者間で料金を支払う者を明確化し、当該者から取引先又は物流事業者に対して別途対価を支払うものとする。</w:t>
      </w:r>
    </w:p>
    <w:p w14:paraId="7AE1943E" w14:textId="77777777" w:rsidR="002A2133" w:rsidRPr="00372FB8" w:rsidRDefault="002A2133" w:rsidP="002A2133"/>
    <w:bookmarkEnd w:id="1"/>
    <w:p w14:paraId="3B01152C" w14:textId="77777777" w:rsidR="002A2133" w:rsidRPr="000B3C46"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③運賃と料金の別建て契約</w:t>
      </w:r>
    </w:p>
    <w:p w14:paraId="3395FC32" w14:textId="77777777" w:rsidR="002A2133" w:rsidRPr="00EC7A6C" w:rsidRDefault="002A2133" w:rsidP="002A2133">
      <w:pPr>
        <w:ind w:leftChars="200" w:left="420" w:firstLineChars="100" w:firstLine="210"/>
      </w:pPr>
      <w:r w:rsidRPr="00EC7A6C">
        <w:rPr>
          <w:rFonts w:hint="eastAsia"/>
        </w:rPr>
        <w:t>運送契約を締結する場合には、運送の対価である「運賃」と運送以外の役務等の対価である「料金」を別建てで契約することを原則とする。</w:t>
      </w:r>
    </w:p>
    <w:p w14:paraId="1BF8E162" w14:textId="77777777" w:rsidR="002A2133" w:rsidRDefault="002A2133" w:rsidP="002A2133"/>
    <w:p w14:paraId="1AB2D47D" w14:textId="603CAA27" w:rsidR="002A2133" w:rsidRPr="00372FB8"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④燃料サーチャージの導入・燃料費等の上昇分の価格への反映</w:t>
      </w:r>
    </w:p>
    <w:p w14:paraId="598E8086" w14:textId="77777777" w:rsidR="002A2133" w:rsidRPr="00372FB8" w:rsidRDefault="002A2133" w:rsidP="002A2133">
      <w:pPr>
        <w:ind w:leftChars="200" w:left="420" w:firstLineChars="100" w:firstLine="210"/>
      </w:pPr>
      <w:r w:rsidRPr="00372FB8">
        <w:rPr>
          <w:rFonts w:hint="eastAsia"/>
        </w:rPr>
        <w:t>物流事業者から燃料サーチャージの導入について相談があった場合及び燃料費等の上昇分や高速道路料金等の実費を運賃又は料金に反映することを求められた場合には協議に応じ、コスト上昇分を運賃又は料金に適切に転嫁するものとする。</w:t>
      </w:r>
    </w:p>
    <w:p w14:paraId="4AE56899" w14:textId="6931FBE8" w:rsidR="002A2133" w:rsidRPr="00372FB8" w:rsidRDefault="002A2133" w:rsidP="002A2133">
      <w:pPr>
        <w:ind w:leftChars="200" w:left="420" w:firstLineChars="100" w:firstLine="210"/>
      </w:pPr>
      <w:r w:rsidRPr="00372FB8">
        <w:rPr>
          <w:rFonts w:hint="eastAsia"/>
        </w:rPr>
        <w:t>また、当該価格転嫁の根拠となるデータ等を請求し、荷主側のコスト上昇分を加味した上で、取引先に対して価格転嫁していくものとする。</w:t>
      </w:r>
    </w:p>
    <w:p w14:paraId="5DEAA034" w14:textId="77777777" w:rsidR="002A2133" w:rsidRPr="00372FB8" w:rsidRDefault="002A2133" w:rsidP="002A2133"/>
    <w:p w14:paraId="0D10D6F1" w14:textId="77777777" w:rsidR="002A2133" w:rsidRPr="000B3C46"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⑤物流事業者の下請取引の適正化</w:t>
      </w:r>
    </w:p>
    <w:p w14:paraId="5A128C2E" w14:textId="77777777" w:rsidR="002A2133" w:rsidRPr="00EC7A6C" w:rsidRDefault="002A2133" w:rsidP="002A2133">
      <w:pPr>
        <w:ind w:leftChars="200" w:left="420" w:firstLineChars="100" w:firstLine="210"/>
      </w:pPr>
      <w:r w:rsidRPr="00EC7A6C">
        <w:rPr>
          <w:rFonts w:hint="eastAsia"/>
        </w:rPr>
        <w:t>一義的には物流事業者間で解決すべき課題ではあるものの、運送契約の相手方の物流事業者（元請事業者）が業務の一部を下請に出すことが確認された場合、１．（２）①から④までについて対応することの配慮を元請事業者に求めるとともに、多重下請構造が適正な運賃及び料金の収受を妨げる一因となることから、特段の事情なく多重下請による運送が発生しないよう留意するものとする。</w:t>
      </w:r>
    </w:p>
    <w:p w14:paraId="14989622" w14:textId="77777777" w:rsidR="002A2133" w:rsidRPr="00EC7A6C" w:rsidRDefault="002A2133" w:rsidP="002A2133"/>
    <w:p w14:paraId="3CC44C86" w14:textId="77777777" w:rsidR="002A2133" w:rsidRPr="00372FB8"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lastRenderedPageBreak/>
        <w:t>⑥物流事業者との協議</w:t>
      </w:r>
    </w:p>
    <w:p w14:paraId="51B89708" w14:textId="77777777" w:rsidR="002A2133" w:rsidRPr="00372FB8" w:rsidRDefault="002A2133" w:rsidP="002A2133">
      <w:pPr>
        <w:ind w:leftChars="200" w:left="420" w:firstLineChars="100" w:firstLine="210"/>
      </w:pPr>
      <w:r w:rsidRPr="00372FB8">
        <w:rPr>
          <w:rFonts w:hint="eastAsia"/>
        </w:rPr>
        <w:t>運賃と料金を含む運送契約の条件に関して、物流事業者の求めに応じて協議の場を設けるものとする。</w:t>
      </w:r>
    </w:p>
    <w:p w14:paraId="3186EC64" w14:textId="77777777" w:rsidR="002A2133" w:rsidRPr="00372FB8" w:rsidRDefault="002A2133" w:rsidP="002A2133"/>
    <w:p w14:paraId="2027940B" w14:textId="77777777" w:rsidR="002A2133" w:rsidRPr="00372FB8"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⑦高速道路の利用</w:t>
      </w:r>
    </w:p>
    <w:p w14:paraId="29672A10" w14:textId="1BF2729B" w:rsidR="002A2133" w:rsidRPr="00372FB8" w:rsidRDefault="002A2133" w:rsidP="002A2133">
      <w:pPr>
        <w:ind w:leftChars="200" w:left="420" w:firstLineChars="100" w:firstLine="210"/>
        <w:rPr>
          <w:color w:val="FF0000"/>
        </w:rPr>
      </w:pPr>
      <w:r w:rsidRPr="00372FB8">
        <w:rPr>
          <w:rFonts w:hint="eastAsia"/>
        </w:rPr>
        <w:t>トラックドライバーの拘束時間を削減し、荷主事業者たる素形材事業者を含めた業務の効率化を促進するため、物流事業者の求めに応じて、高速道路の利用を検討するものとする。</w:t>
      </w:r>
    </w:p>
    <w:p w14:paraId="75C566E6" w14:textId="24D53FD6" w:rsidR="002A2133" w:rsidRPr="00372FB8" w:rsidRDefault="002A2133" w:rsidP="002A2133">
      <w:pPr>
        <w:ind w:leftChars="200" w:left="420" w:firstLineChars="100" w:firstLine="210"/>
      </w:pPr>
      <w:r w:rsidRPr="00372FB8">
        <w:rPr>
          <w:rFonts w:hint="eastAsia"/>
        </w:rPr>
        <w:t>また、物流事業者から高速道路の利用と料金の負担について相談があった場合は、協議に応じ、高速道路の利用が業務の効率化に資する場合には、高速道路の利用に係る費用を、運賃とは別に実費として支払うものとする。</w:t>
      </w:r>
    </w:p>
    <w:p w14:paraId="31098383" w14:textId="77777777" w:rsidR="002A2133" w:rsidRPr="00372FB8" w:rsidRDefault="002A2133" w:rsidP="002A2133"/>
    <w:p w14:paraId="5506F91A" w14:textId="77777777" w:rsidR="002A2133" w:rsidRPr="00372FB8"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⑧運送契約の相手方の選定</w:t>
      </w:r>
    </w:p>
    <w:p w14:paraId="078F4359" w14:textId="50B4E791" w:rsidR="002A2133" w:rsidRPr="00372FB8" w:rsidRDefault="002A2133" w:rsidP="002A2133">
      <w:pPr>
        <w:ind w:leftChars="200" w:left="420" w:firstLineChars="100" w:firstLine="210"/>
      </w:pPr>
      <w:r w:rsidRPr="00372FB8">
        <w:rPr>
          <w:rFonts w:hint="eastAsia"/>
        </w:rPr>
        <w:t>契約する物流事業者を荷主事業者たる素形材事業者が選定する場合には、関係法令の遵守状況を考慮するとともに、働き方改革や輸送の安全性の向上等に取り組む物流事業者の積極的な活用を推進するものとする。</w:t>
      </w:r>
    </w:p>
    <w:p w14:paraId="1E176C33" w14:textId="77777777" w:rsidR="002A2133" w:rsidRPr="00372FB8" w:rsidRDefault="002A2133" w:rsidP="002A2133"/>
    <w:p w14:paraId="24307677" w14:textId="77777777" w:rsidR="002A2133" w:rsidRPr="00372FB8" w:rsidRDefault="002A2133" w:rsidP="002A2133"/>
    <w:p w14:paraId="723D80C7" w14:textId="77777777" w:rsidR="002A2133" w:rsidRPr="00372FB8" w:rsidRDefault="002A2133" w:rsidP="002A2133">
      <w:pPr>
        <w:rPr>
          <w:rFonts w:ascii="ＭＳ ゴシック" w:eastAsia="ＭＳ ゴシック" w:hAnsi="ＭＳ ゴシック"/>
          <w:b/>
          <w:bCs/>
        </w:rPr>
      </w:pPr>
      <w:r w:rsidRPr="00372FB8">
        <w:rPr>
          <w:rFonts w:ascii="ＭＳ ゴシック" w:eastAsia="ＭＳ ゴシック" w:hAnsi="ＭＳ ゴシック" w:hint="eastAsia"/>
          <w:b/>
          <w:bCs/>
        </w:rPr>
        <w:t>（３）輸送・荷役作業等の安全の確保</w:t>
      </w:r>
    </w:p>
    <w:p w14:paraId="3C82526C" w14:textId="77777777" w:rsidR="002A2133" w:rsidRPr="007D3990"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①異常気象時等の運行の中止・中断等</w:t>
      </w:r>
    </w:p>
    <w:p w14:paraId="6EA0C416" w14:textId="77777777" w:rsidR="002A2133" w:rsidRPr="00EC7A6C" w:rsidRDefault="002A2133" w:rsidP="002A2133">
      <w:pPr>
        <w:ind w:leftChars="200" w:left="420" w:firstLineChars="100" w:firstLine="210"/>
      </w:pPr>
      <w:r w:rsidRPr="00EC7A6C">
        <w:rPr>
          <w:rFonts w:hint="eastAsia"/>
        </w:rPr>
        <w:t>台風、豪雨、豪雪等の異常気象が発生した際やその発生が見込まれる際には、着荷主事業者や取引先と調整を行う等、物流事業者に対して無理な運送依頼を行わないよう努めるものとする。また、トラックドライバー等の安全を確保するため、運行の中止・中断等が必要と物流事業者が判断した場合は、その判断を尊重し、対応を協議するものとする。</w:t>
      </w:r>
    </w:p>
    <w:p w14:paraId="288F6B71" w14:textId="77777777" w:rsidR="002A2133" w:rsidRDefault="002A2133" w:rsidP="002A2133"/>
    <w:p w14:paraId="211993D0" w14:textId="77777777" w:rsidR="002A2133" w:rsidRPr="00EC7A6C" w:rsidRDefault="002A2133" w:rsidP="002A2133"/>
    <w:p w14:paraId="6D484A28" w14:textId="77777777" w:rsidR="002A2133" w:rsidRPr="00372FB8"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②荷役作業時の安全対策</w:t>
      </w:r>
    </w:p>
    <w:p w14:paraId="0951D832" w14:textId="77777777" w:rsidR="002A2133" w:rsidRPr="00372FB8" w:rsidRDefault="002A2133" w:rsidP="002A2133">
      <w:pPr>
        <w:ind w:leftChars="200" w:left="420" w:firstLineChars="100" w:firstLine="210"/>
      </w:pPr>
      <w:r w:rsidRPr="00372FB8">
        <w:rPr>
          <w:rFonts w:hint="eastAsia"/>
        </w:rPr>
        <w:t>荷役作業を行う場合には、労働災害の発生を防止するため、安全な作業手順の明示、安全通路の確保、足場の設置等の対策を講じるとともに、事故が発生した場合の損害賠償責任を明確化することとする。</w:t>
      </w:r>
    </w:p>
    <w:p w14:paraId="23DFACCA" w14:textId="77777777" w:rsidR="002A2133" w:rsidRDefault="002A2133" w:rsidP="002A2133"/>
    <w:p w14:paraId="18B943BA" w14:textId="77777777" w:rsidR="00372FB8" w:rsidRDefault="00372FB8" w:rsidP="002A2133"/>
    <w:p w14:paraId="2FC36F68" w14:textId="77777777" w:rsidR="00372FB8" w:rsidRPr="00372FB8" w:rsidRDefault="00372FB8" w:rsidP="002A2133"/>
    <w:p w14:paraId="736F3535" w14:textId="4E32E4D0" w:rsidR="002A2133" w:rsidRPr="00372FB8" w:rsidRDefault="002A2133" w:rsidP="00372FB8">
      <w:pPr>
        <w:widowControl/>
        <w:jc w:val="left"/>
        <w:rPr>
          <w:rFonts w:ascii="ＭＳ ゴシック" w:eastAsia="ＭＳ ゴシック" w:hAnsi="ＭＳ ゴシック"/>
          <w:b/>
          <w:bCs/>
        </w:rPr>
      </w:pPr>
      <w:r w:rsidRPr="00372FB8">
        <w:rPr>
          <w:rFonts w:ascii="ＭＳ ゴシック" w:eastAsia="ＭＳ ゴシック" w:hAnsi="ＭＳ ゴシック" w:hint="eastAsia"/>
          <w:b/>
          <w:bCs/>
        </w:rPr>
        <w:t>２．発荷主事業者としての取組事項</w:t>
      </w:r>
    </w:p>
    <w:p w14:paraId="0C591BFB" w14:textId="77777777" w:rsidR="002A2133" w:rsidRPr="00372FB8" w:rsidRDefault="002A2133" w:rsidP="002A2133">
      <w:pPr>
        <w:rPr>
          <w:rFonts w:ascii="ＭＳ ゴシック" w:eastAsia="ＭＳ ゴシック" w:hAnsi="ＭＳ ゴシック"/>
          <w:b/>
          <w:bCs/>
        </w:rPr>
      </w:pPr>
    </w:p>
    <w:p w14:paraId="51932B0C" w14:textId="77777777" w:rsidR="002A2133" w:rsidRPr="00372FB8" w:rsidRDefault="002A2133" w:rsidP="002A2133">
      <w:pPr>
        <w:rPr>
          <w:rFonts w:ascii="ＭＳ ゴシック" w:eastAsia="ＭＳ ゴシック" w:hAnsi="ＭＳ ゴシック"/>
          <w:b/>
          <w:bCs/>
        </w:rPr>
      </w:pPr>
      <w:r w:rsidRPr="00372FB8">
        <w:rPr>
          <w:rFonts w:ascii="ＭＳ ゴシック" w:eastAsia="ＭＳ ゴシック" w:hAnsi="ＭＳ ゴシック" w:hint="eastAsia"/>
          <w:b/>
          <w:bCs/>
        </w:rPr>
        <w:t>■物流業務の効率化・合理化</w:t>
      </w:r>
    </w:p>
    <w:p w14:paraId="15E75469" w14:textId="77777777" w:rsidR="002A2133" w:rsidRPr="00372FB8"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①出荷に合わせた生産・荷造り等</w:t>
      </w:r>
    </w:p>
    <w:p w14:paraId="669E0CF2" w14:textId="77777777" w:rsidR="002A2133" w:rsidRPr="00372FB8" w:rsidRDefault="002A2133" w:rsidP="002A2133">
      <w:pPr>
        <w:ind w:leftChars="200" w:left="420" w:firstLineChars="100" w:firstLine="210"/>
      </w:pPr>
      <w:r w:rsidRPr="00372FB8">
        <w:rPr>
          <w:rFonts w:hint="eastAsia"/>
        </w:rPr>
        <w:t>発荷主事業者たる素形材事業者は、出荷時の順序や荷姿を想定した生産・荷造り等を行うなど、更なる荷役時間の短縮に努めるものとする。</w:t>
      </w:r>
    </w:p>
    <w:p w14:paraId="586380B8" w14:textId="77777777" w:rsidR="002A2133" w:rsidRPr="00372FB8" w:rsidRDefault="002A2133" w:rsidP="002A2133"/>
    <w:p w14:paraId="58661A3D" w14:textId="33511D90" w:rsidR="002A2133" w:rsidRPr="00372FB8"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②トラックドライバーの負担等を考慮した出荷予定時刻の設定</w:t>
      </w:r>
    </w:p>
    <w:p w14:paraId="60098760" w14:textId="77777777" w:rsidR="002A2133" w:rsidRPr="00EC7A6C" w:rsidRDefault="002A2133" w:rsidP="002A2133">
      <w:pPr>
        <w:ind w:leftChars="200" w:left="420" w:firstLineChars="100" w:firstLine="210"/>
      </w:pPr>
      <w:r w:rsidRPr="00372FB8">
        <w:rPr>
          <w:rFonts w:hint="eastAsia"/>
        </w:rPr>
        <w:t>発荷主事業者たる素形材事業者において、トラックドライバーの</w:t>
      </w:r>
      <w:r w:rsidRPr="00EC7A6C">
        <w:rPr>
          <w:rFonts w:hint="eastAsia"/>
        </w:rPr>
        <w:t>就労状況等に関して、物流事業者から相談があった場合には、協議に応じ、着荷主事業者や取引先の協力の下、トラックドライバーが輸配送先まで</w:t>
      </w:r>
      <w:r w:rsidRPr="00EC7A6C">
        <w:rPr>
          <w:rFonts w:hint="eastAsia"/>
        </w:rPr>
        <w:lastRenderedPageBreak/>
        <w:t>適切に休憩を取りつつ運行することが可能なスケジュールが組めるよう、適切な出荷予定時刻を設定する</w:t>
      </w:r>
      <w:r w:rsidRPr="006018CF">
        <w:rPr>
          <w:rFonts w:hint="eastAsia"/>
        </w:rPr>
        <w:t>よう努める</w:t>
      </w:r>
      <w:r w:rsidRPr="00EC7A6C">
        <w:rPr>
          <w:rFonts w:hint="eastAsia"/>
        </w:rPr>
        <w:t>ものとする。</w:t>
      </w:r>
    </w:p>
    <w:p w14:paraId="689B5952" w14:textId="77777777" w:rsidR="002A2133" w:rsidRPr="00EC7A6C" w:rsidRDefault="002A2133" w:rsidP="002A2133"/>
    <w:p w14:paraId="2ABE8AC3" w14:textId="77777777" w:rsidR="002A2133" w:rsidRPr="00372FB8"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③出荷情報等の事前提供</w:t>
      </w:r>
    </w:p>
    <w:p w14:paraId="6ADE2ADC" w14:textId="77777777" w:rsidR="002A2133" w:rsidRPr="00372FB8" w:rsidRDefault="002A2133" w:rsidP="002A2133">
      <w:pPr>
        <w:ind w:leftChars="200" w:left="420" w:firstLineChars="100" w:firstLine="210"/>
      </w:pPr>
      <w:r w:rsidRPr="00372FB8">
        <w:rPr>
          <w:rFonts w:hint="eastAsia"/>
        </w:rPr>
        <w:t>発荷主事業者たる素形材事業者は、貨物を発送する際に、物流事業者や着荷主事業者の準備時間を確保するため、着荷主事業者や取引先の協力の下、物流事業者に対し、出荷情報等を可能な限り早期に提供するよう努めるものとする。</w:t>
      </w:r>
    </w:p>
    <w:p w14:paraId="681F39D3" w14:textId="77777777" w:rsidR="002A2133" w:rsidRPr="00372FB8" w:rsidRDefault="002A2133" w:rsidP="002A2133"/>
    <w:p w14:paraId="10FA2FE4" w14:textId="77777777" w:rsidR="002A2133" w:rsidRPr="00372FB8" w:rsidRDefault="002A2133" w:rsidP="002A2133">
      <w:pPr>
        <w:rPr>
          <w:rFonts w:ascii="ＭＳ ゴシック" w:eastAsia="ＭＳ ゴシック" w:hAnsi="ＭＳ ゴシック"/>
        </w:rPr>
      </w:pPr>
    </w:p>
    <w:p w14:paraId="690C084E" w14:textId="5ABFC831" w:rsidR="002A2133" w:rsidRPr="00372FB8" w:rsidRDefault="002A2133" w:rsidP="002A2133">
      <w:pPr>
        <w:ind w:leftChars="100" w:left="420" w:hangingChars="100" w:hanging="210"/>
        <w:rPr>
          <w:rFonts w:ascii="ＭＳ ゴシック" w:eastAsia="ＭＳ ゴシック" w:hAnsi="ＭＳ ゴシック"/>
        </w:rPr>
      </w:pPr>
      <w:r w:rsidRPr="00372FB8">
        <w:rPr>
          <w:rFonts w:ascii="ＭＳ ゴシック" w:eastAsia="ＭＳ ゴシック" w:hAnsi="ＭＳ ゴシック" w:hint="eastAsia"/>
        </w:rPr>
        <w:t>④物流コストの可視化、メニュープライシング等の取組の推奨</w:t>
      </w:r>
    </w:p>
    <w:p w14:paraId="0DA7874F" w14:textId="77777777" w:rsidR="002A2133" w:rsidRPr="00372FB8" w:rsidRDefault="002A2133" w:rsidP="002A2133">
      <w:pPr>
        <w:ind w:leftChars="200" w:left="420" w:firstLineChars="100" w:firstLine="210"/>
      </w:pPr>
      <w:r w:rsidRPr="00372FB8">
        <w:rPr>
          <w:rFonts w:hint="eastAsia"/>
        </w:rPr>
        <w:t>発荷主事業者と着荷主事業者との間の商取引においては、商品価格に物流費を含める商慣行が存在すると言われている。この場合、注文者である着荷主事業者は、物流事業者の物流サービスの程度に関わらず、発荷主事業者に対して同一の商品価格を支払うことになるため、着荷主事業者にとって、繁忙期を避けた発注や発注の大ロット化等の物流負荷軽減に資する取組を行うインセンティブが働かない状態となる。このため、運賃の適正収受を図る観点からも、物流事業者からの提案等を踏まえ、発荷主事業者たる素形材事業者において、基準となる商品価格や物流サービス水準を明確化し、物流サービスの高低に応じて物流コスト分を上下させるメニュープライシング等の取組を実施するなど、物流効率に配慮した発注、商取引における物流コストの見える化の推進に努めることとする。</w:t>
      </w:r>
    </w:p>
    <w:p w14:paraId="6EFE958C" w14:textId="77777777" w:rsidR="002A2133" w:rsidRPr="00372FB8" w:rsidRDefault="002A2133" w:rsidP="002A2133"/>
    <w:p w14:paraId="37BC1060" w14:textId="68C298B4" w:rsidR="002A2133" w:rsidRPr="00372FB8" w:rsidRDefault="00E30A35"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⑤</w:t>
      </w:r>
      <w:r w:rsidR="002A2133" w:rsidRPr="00372FB8">
        <w:rPr>
          <w:rFonts w:ascii="ＭＳ ゴシック" w:eastAsia="ＭＳ ゴシック" w:hAnsi="ＭＳ ゴシック" w:hint="eastAsia"/>
        </w:rPr>
        <w:t>発荷主事業者側の施設の改善</w:t>
      </w:r>
    </w:p>
    <w:p w14:paraId="44CCF7BC" w14:textId="77777777" w:rsidR="002A2133" w:rsidRPr="00372FB8" w:rsidRDefault="002A2133" w:rsidP="002A2133">
      <w:pPr>
        <w:ind w:leftChars="200" w:left="420" w:firstLineChars="100" w:firstLine="210"/>
      </w:pPr>
      <w:bookmarkStart w:id="2" w:name="_Hlk139558480"/>
      <w:r w:rsidRPr="00372FB8">
        <w:rPr>
          <w:rFonts w:hint="eastAsia"/>
        </w:rPr>
        <w:t>発荷主事業者たる素形材事業者は、</w:t>
      </w:r>
      <w:bookmarkEnd w:id="2"/>
      <w:r w:rsidRPr="00372FB8">
        <w:rPr>
          <w:rFonts w:hint="eastAsia"/>
        </w:rPr>
        <w:t>荷待ち及び荷役作業等の時間の削減に資するよう、倉庫等の物流施設の集約、新設・増設、レイアウト変更等、必要な改善に努めることとする。</w:t>
      </w:r>
    </w:p>
    <w:p w14:paraId="0648BE5E" w14:textId="77777777" w:rsidR="002A2133" w:rsidRPr="00372FB8" w:rsidRDefault="002A2133" w:rsidP="002A2133"/>
    <w:p w14:paraId="2FBBD22C" w14:textId="22D9A700" w:rsidR="002A2133" w:rsidRPr="007D3990"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⑥混雑時を避けた出荷</w:t>
      </w:r>
    </w:p>
    <w:p w14:paraId="537ABA66" w14:textId="62B3A3E6" w:rsidR="002A2133" w:rsidRPr="00EC7A6C" w:rsidRDefault="002A2133" w:rsidP="002A2133">
      <w:pPr>
        <w:ind w:leftChars="200" w:left="420" w:firstLineChars="100" w:firstLine="210"/>
      </w:pPr>
      <w:r w:rsidRPr="00EC7A6C">
        <w:rPr>
          <w:rFonts w:hint="eastAsia"/>
        </w:rPr>
        <w:t>発荷主事業者たる素形材事業者は、着荷主事業者や取引先の協力の下、道路が渋滞する時間や混雑時間を避け、可能な限り出荷時間を分散させるよう努めることとする。</w:t>
      </w:r>
    </w:p>
    <w:p w14:paraId="264DC1C9" w14:textId="77777777" w:rsidR="002A2133" w:rsidRPr="00EC7A6C" w:rsidRDefault="002A2133" w:rsidP="002A2133"/>
    <w:p w14:paraId="100FF09F" w14:textId="12E86B11" w:rsidR="002A2133" w:rsidRPr="00372FB8"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⑦月波動の繁閑差の平準化等を通じた発送量の適正化</w:t>
      </w:r>
    </w:p>
    <w:p w14:paraId="4E8ECADE" w14:textId="7DDFD332" w:rsidR="002A2133" w:rsidRPr="00372FB8" w:rsidRDefault="002A2133" w:rsidP="002A2133">
      <w:pPr>
        <w:ind w:leftChars="200" w:left="420" w:firstLineChars="100" w:firstLine="210"/>
      </w:pPr>
      <w:r w:rsidRPr="00372FB8">
        <w:rPr>
          <w:rFonts w:hint="eastAsia"/>
        </w:rPr>
        <w:t>発荷主事業者たる素形材事業者は、荷待ち時間を削減するとともに運行効率を向上させるため、着荷主事業者や取引先の協力の下、日内波動（例．朝納品の集中）や曜日波動、月波動等の繁閑差の平準化や、隔日配送化、定曜日配送化等の納品日の集約等を通じて発送量の適正化に努めることとする。</w:t>
      </w:r>
    </w:p>
    <w:p w14:paraId="57098EF3" w14:textId="77777777" w:rsidR="002A2133" w:rsidRPr="00372FB8" w:rsidRDefault="002A2133" w:rsidP="002A2133"/>
    <w:p w14:paraId="354DDD2D" w14:textId="77777777" w:rsidR="002A2133" w:rsidRPr="00372FB8" w:rsidRDefault="002A2133" w:rsidP="002A2133"/>
    <w:p w14:paraId="072ADDF8" w14:textId="77777777" w:rsidR="002A2133" w:rsidRPr="00372FB8" w:rsidRDefault="002A2133" w:rsidP="002A2133"/>
    <w:p w14:paraId="7ECDED40" w14:textId="77777777" w:rsidR="002A2133" w:rsidRPr="00372FB8" w:rsidRDefault="002A2133" w:rsidP="002A2133">
      <w:pPr>
        <w:rPr>
          <w:rFonts w:ascii="ＭＳ ゴシック" w:eastAsia="ＭＳ ゴシック" w:hAnsi="ＭＳ ゴシック"/>
          <w:b/>
          <w:bCs/>
        </w:rPr>
      </w:pPr>
      <w:r w:rsidRPr="00372FB8">
        <w:rPr>
          <w:rFonts w:ascii="ＭＳ ゴシック" w:eastAsia="ＭＳ ゴシック" w:hAnsi="ＭＳ ゴシック" w:hint="eastAsia"/>
          <w:b/>
          <w:bCs/>
        </w:rPr>
        <w:t>３．着荷主事業者としての取組事項</w:t>
      </w:r>
    </w:p>
    <w:p w14:paraId="3D139C99" w14:textId="77777777" w:rsidR="002A2133" w:rsidRPr="00372FB8" w:rsidRDefault="002A2133" w:rsidP="002A2133">
      <w:pPr>
        <w:rPr>
          <w:rFonts w:ascii="ＭＳ ゴシック" w:eastAsia="ＭＳ ゴシック" w:hAnsi="ＭＳ ゴシック"/>
          <w:b/>
          <w:bCs/>
        </w:rPr>
      </w:pPr>
    </w:p>
    <w:p w14:paraId="346B663C" w14:textId="77777777" w:rsidR="002A2133" w:rsidRPr="00372FB8" w:rsidRDefault="002A2133" w:rsidP="002A2133">
      <w:pPr>
        <w:rPr>
          <w:rFonts w:ascii="ＭＳ ゴシック" w:eastAsia="ＭＳ ゴシック" w:hAnsi="ＭＳ ゴシック"/>
          <w:b/>
          <w:bCs/>
        </w:rPr>
      </w:pPr>
      <w:r w:rsidRPr="00372FB8">
        <w:rPr>
          <w:rFonts w:ascii="ＭＳ ゴシック" w:eastAsia="ＭＳ ゴシック" w:hAnsi="ＭＳ ゴシック" w:hint="eastAsia"/>
          <w:b/>
          <w:bCs/>
        </w:rPr>
        <w:t>■物流業務の効率化・合理化</w:t>
      </w:r>
    </w:p>
    <w:p w14:paraId="173DDEAC" w14:textId="77777777" w:rsidR="002A2133" w:rsidRPr="00602FA8"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①納品リードタイムの確保</w:t>
      </w:r>
    </w:p>
    <w:p w14:paraId="3B941BEA" w14:textId="77777777" w:rsidR="002A2133" w:rsidRPr="00EC7A6C" w:rsidRDefault="002A2133" w:rsidP="002A2133">
      <w:pPr>
        <w:ind w:leftChars="200" w:left="420" w:firstLineChars="100" w:firstLine="210"/>
      </w:pPr>
      <w:r w:rsidRPr="00EC7A6C">
        <w:rPr>
          <w:rFonts w:hint="eastAsia"/>
        </w:rPr>
        <w:t>着荷主事業者たる素形材事業者は、発荷主事業者や物流事業者の準備時間を確保し、輸送手段の選択肢を</w:t>
      </w:r>
      <w:r w:rsidRPr="00EC7A6C">
        <w:rPr>
          <w:rFonts w:hint="eastAsia"/>
        </w:rPr>
        <w:lastRenderedPageBreak/>
        <w:t>増やすため、発荷主事業者や取引先の協力の下、発注から納品までの納品リードタイムの十分な確保に努めるものとする。納品リードタイムを短くせざるを得ない特別な事情がある場合には、サプライチェーン全体の課題として、関係者間で課題解決に向けた取組を協議するなど、物流負荷の軽減に取り組むものとする。</w:t>
      </w:r>
    </w:p>
    <w:p w14:paraId="5C69ECED" w14:textId="77777777" w:rsidR="002A2133" w:rsidRPr="00EC7A6C" w:rsidRDefault="002A2133" w:rsidP="002A2133"/>
    <w:p w14:paraId="66B32074" w14:textId="77777777" w:rsidR="002A2133" w:rsidRPr="00372FB8"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②月波動の繁閑差の平準化等を通じた発注の適正化</w:t>
      </w:r>
    </w:p>
    <w:p w14:paraId="00F0F29D" w14:textId="443AC5CD" w:rsidR="002A2133" w:rsidRPr="00372FB8" w:rsidRDefault="002A2133" w:rsidP="002A2133">
      <w:pPr>
        <w:ind w:leftChars="200" w:left="420" w:firstLineChars="100" w:firstLine="210"/>
      </w:pPr>
      <w:r w:rsidRPr="00372FB8">
        <w:rPr>
          <w:rFonts w:hint="eastAsia"/>
        </w:rPr>
        <w:t>着荷主事業者たる素形材事業者は、荷待ち時間を削減するとともに運行効率を向上させるため、発荷主事業者や取引先の協力の下、日内波動（例．朝納品の集中）や曜日波動、月波動等の繁閑差の平準化や、適正量の在庫の保有、発注の大ロット化等を通じて発注の適正化に努めることとする。</w:t>
      </w:r>
    </w:p>
    <w:p w14:paraId="369816CD" w14:textId="7F29061E" w:rsidR="002A2133" w:rsidRPr="00372FB8" w:rsidRDefault="002A2133" w:rsidP="002A2133">
      <w:pPr>
        <w:ind w:leftChars="200" w:left="420" w:firstLineChars="100" w:firstLine="210"/>
      </w:pPr>
      <w:r w:rsidRPr="00372FB8">
        <w:rPr>
          <w:rFonts w:hint="eastAsia"/>
        </w:rPr>
        <w:t>なお、発注の適正化にあたり、発荷主事業者がメニュープライシングを用意している場合（２．④参照）には、可能な限りそれを活用する。</w:t>
      </w:r>
    </w:p>
    <w:p w14:paraId="03AF7EEF" w14:textId="77777777" w:rsidR="002A2133" w:rsidRPr="00372FB8" w:rsidRDefault="002A2133" w:rsidP="002A2133"/>
    <w:p w14:paraId="7EA54833" w14:textId="77777777" w:rsidR="002A2133" w:rsidRPr="00372FB8"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③着荷主事業者側の施設の改善</w:t>
      </w:r>
    </w:p>
    <w:p w14:paraId="25CFC144" w14:textId="77777777" w:rsidR="002A2133" w:rsidRPr="00372FB8" w:rsidRDefault="002A2133" w:rsidP="002A2133">
      <w:pPr>
        <w:ind w:leftChars="200" w:left="420" w:firstLineChars="100" w:firstLine="210"/>
      </w:pPr>
      <w:r w:rsidRPr="00372FB8">
        <w:rPr>
          <w:rFonts w:hint="eastAsia"/>
        </w:rPr>
        <w:t>着荷主事業者たる素形材事業者は、荷待ち及び荷役作業等の時間の削減に資するよう、倉庫等の物流施設の集約、新設・増設、レイアウト変更等、必要な改善に努めることとする。</w:t>
      </w:r>
    </w:p>
    <w:p w14:paraId="2E36278B" w14:textId="77777777" w:rsidR="002A2133" w:rsidRPr="00372FB8" w:rsidRDefault="002A2133" w:rsidP="002A2133"/>
    <w:p w14:paraId="6E97D12A" w14:textId="77777777" w:rsidR="002A2133" w:rsidRPr="00372FB8"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④混雑時を避けた納品</w:t>
      </w:r>
    </w:p>
    <w:p w14:paraId="51403803" w14:textId="782C2CDE" w:rsidR="002A2133" w:rsidRPr="00372FB8" w:rsidRDefault="002A2133" w:rsidP="002A2133">
      <w:pPr>
        <w:ind w:leftChars="200" w:left="420" w:firstLineChars="100" w:firstLine="210"/>
      </w:pPr>
      <w:r w:rsidRPr="00372FB8">
        <w:rPr>
          <w:rFonts w:hint="eastAsia"/>
        </w:rPr>
        <w:t>着荷主事業者たる素形材事業者は、発荷主事業者や取引先の協力の下、道路が渋滞する時間や混雑時間を避け、可能な限り納品時間を分散させるよう努めることとする。</w:t>
      </w:r>
    </w:p>
    <w:p w14:paraId="27B19964" w14:textId="77777777" w:rsidR="002A2133" w:rsidRPr="00372FB8" w:rsidRDefault="002A2133" w:rsidP="002A2133"/>
    <w:p w14:paraId="6356640C" w14:textId="55DD1612" w:rsidR="002A2133" w:rsidRPr="00602FA8" w:rsidRDefault="002A2133" w:rsidP="002A2133">
      <w:pPr>
        <w:ind w:firstLineChars="100" w:firstLine="210"/>
        <w:rPr>
          <w:rFonts w:ascii="ＭＳ ゴシック" w:eastAsia="ＭＳ ゴシック" w:hAnsi="ＭＳ ゴシック"/>
        </w:rPr>
      </w:pPr>
      <w:r w:rsidRPr="00372FB8">
        <w:rPr>
          <w:rFonts w:ascii="ＭＳ ゴシック" w:eastAsia="ＭＳ ゴシック" w:hAnsi="ＭＳ ゴシック" w:hint="eastAsia"/>
        </w:rPr>
        <w:t>⑤巡回集荷（ミルクラン方式）</w:t>
      </w:r>
    </w:p>
    <w:p w14:paraId="04490E95" w14:textId="73545029" w:rsidR="002A2133" w:rsidRDefault="002A2133" w:rsidP="002A2133">
      <w:pPr>
        <w:ind w:leftChars="200" w:left="420" w:firstLineChars="100" w:firstLine="210"/>
      </w:pPr>
      <w:r w:rsidRPr="00EC7A6C">
        <w:rPr>
          <w:rFonts w:hint="eastAsia"/>
        </w:rPr>
        <w:t>着荷主事業者たる素形材事業者が車両を手配し、各取引先の軒先まで巡回して集荷する巡回集荷（ミルクラン方式）の有効性や経済性が確認され、</w:t>
      </w:r>
      <w:bookmarkStart w:id="3" w:name="_Hlk138359669"/>
      <w:r w:rsidRPr="00EC7A6C">
        <w:rPr>
          <w:rFonts w:hint="eastAsia"/>
        </w:rPr>
        <w:t>より効率的な物流が可能となる場合は、</w:t>
      </w:r>
      <w:bookmarkEnd w:id="3"/>
      <w:r w:rsidRPr="00EC7A6C">
        <w:rPr>
          <w:rFonts w:hint="eastAsia"/>
        </w:rPr>
        <w:t>発荷主事業者との合意の上で、この活用を推進するものとする。</w:t>
      </w:r>
    </w:p>
    <w:p w14:paraId="0614ED71" w14:textId="77777777" w:rsidR="006018CF" w:rsidRPr="00EC7A6C" w:rsidRDefault="006018CF" w:rsidP="006018CF"/>
    <w:p w14:paraId="26389498" w14:textId="206104C2" w:rsidR="00A323D2" w:rsidRPr="005C5442" w:rsidRDefault="005A140B" w:rsidP="008126D4">
      <w:pPr>
        <w:widowControl/>
        <w:adjustRightInd w:val="0"/>
        <w:jc w:val="right"/>
        <w:rPr>
          <w:rFonts w:asciiTheme="minorEastAsia" w:hAnsiTheme="minorEastAsia"/>
          <w:sz w:val="24"/>
          <w:szCs w:val="24"/>
        </w:rPr>
      </w:pPr>
      <w:r w:rsidRPr="0048291A">
        <w:rPr>
          <w:rFonts w:asciiTheme="minorEastAsia" w:hAnsiTheme="minorEastAsia" w:hint="eastAsia"/>
          <w:sz w:val="24"/>
          <w:szCs w:val="24"/>
        </w:rPr>
        <w:t>以上</w:t>
      </w:r>
    </w:p>
    <w:sectPr w:rsidR="00A323D2" w:rsidRPr="005C5442" w:rsidSect="00985145">
      <w:headerReference w:type="default" r:id="rId11"/>
      <w:footerReference w:type="default" r:id="rId12"/>
      <w:headerReference w:type="first" r:id="rId13"/>
      <w:footerReference w:type="firs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1188" w14:textId="77777777" w:rsidR="005A140B" w:rsidRDefault="005A140B" w:rsidP="003C0825">
      <w:r>
        <w:separator/>
      </w:r>
    </w:p>
  </w:endnote>
  <w:endnote w:type="continuationSeparator" w:id="0">
    <w:p w14:paraId="79074AD0" w14:textId="77777777" w:rsidR="005A140B" w:rsidRDefault="005A140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117797"/>
      <w:docPartObj>
        <w:docPartGallery w:val="Page Numbers (Bottom of Page)"/>
        <w:docPartUnique/>
      </w:docPartObj>
    </w:sdtPr>
    <w:sdtEndPr/>
    <w:sdtContent>
      <w:p w14:paraId="4F09CD48" w14:textId="503537F7" w:rsidR="00985145" w:rsidRDefault="00985145">
        <w:pPr>
          <w:pStyle w:val="a5"/>
          <w:jc w:val="center"/>
        </w:pPr>
        <w:r>
          <w:fldChar w:fldCharType="begin"/>
        </w:r>
        <w:r>
          <w:instrText>PAGE   \* MERGEFORMAT</w:instrText>
        </w:r>
        <w:r>
          <w:fldChar w:fldCharType="separate"/>
        </w:r>
        <w:r>
          <w:rPr>
            <w:lang w:val="ja-JP"/>
          </w:rPr>
          <w:t>2</w:t>
        </w:r>
        <w:r>
          <w:fldChar w:fldCharType="end"/>
        </w:r>
      </w:p>
    </w:sdtContent>
  </w:sdt>
  <w:p w14:paraId="77D55AD0" w14:textId="77777777" w:rsidR="00985145" w:rsidRDefault="009851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140918"/>
      <w:docPartObj>
        <w:docPartGallery w:val="Page Numbers (Bottom of Page)"/>
        <w:docPartUnique/>
      </w:docPartObj>
    </w:sdtPr>
    <w:sdtEndPr/>
    <w:sdtContent>
      <w:p w14:paraId="57E2381B" w14:textId="32DDF80A" w:rsidR="00985145" w:rsidRDefault="00985145">
        <w:pPr>
          <w:pStyle w:val="a5"/>
          <w:jc w:val="center"/>
        </w:pPr>
        <w:r>
          <w:fldChar w:fldCharType="begin"/>
        </w:r>
        <w:r>
          <w:instrText>PAGE   \* MERGEFORMAT</w:instrText>
        </w:r>
        <w:r>
          <w:fldChar w:fldCharType="separate"/>
        </w:r>
        <w:r>
          <w:rPr>
            <w:lang w:val="ja-JP"/>
          </w:rPr>
          <w:t>2</w:t>
        </w:r>
        <w:r>
          <w:fldChar w:fldCharType="end"/>
        </w:r>
      </w:p>
    </w:sdtContent>
  </w:sdt>
  <w:p w14:paraId="7D44EA6C" w14:textId="77777777" w:rsidR="00985145" w:rsidRDefault="009851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5F49" w14:textId="77777777" w:rsidR="005A140B" w:rsidRDefault="005A140B" w:rsidP="003C0825">
      <w:r>
        <w:separator/>
      </w:r>
    </w:p>
  </w:footnote>
  <w:footnote w:type="continuationSeparator" w:id="0">
    <w:p w14:paraId="2B741F12" w14:textId="77777777" w:rsidR="005A140B" w:rsidRDefault="005A140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E897" w14:textId="758546E2" w:rsidR="00985145" w:rsidRPr="00985145" w:rsidRDefault="00985145" w:rsidP="00985145">
    <w:pPr>
      <w:pStyle w:val="a3"/>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DC80" w14:textId="59DE9C8F" w:rsidR="009F1401" w:rsidRPr="005B2C63" w:rsidRDefault="00985145" w:rsidP="00482008">
    <w:pPr>
      <w:pStyle w:val="a3"/>
      <w:spacing w:line="14" w:lineRule="exact"/>
    </w:pPr>
    <w:r>
      <w:rPr>
        <w:rFonts w:hint="eastAsia"/>
      </w:rPr>
      <w:t>資料１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5D29"/>
    <w:multiLevelType w:val="hybridMultilevel"/>
    <w:tmpl w:val="D54A17C0"/>
    <w:lvl w:ilvl="0" w:tplc="FFFFFFFF">
      <w:start w:val="1"/>
      <w:numFmt w:val="decimalEnclosedCircle"/>
      <w:lvlText w:val="%1"/>
      <w:lvlJc w:val="left"/>
      <w:pPr>
        <w:ind w:left="601" w:hanging="360"/>
      </w:pPr>
      <w:rPr>
        <w:rFonts w:hint="eastAsia"/>
      </w:rPr>
    </w:lvl>
    <w:lvl w:ilvl="1" w:tplc="FFFFFFFF">
      <w:start w:val="1"/>
      <w:numFmt w:val="bullet"/>
      <w:lvlText w:val="※"/>
      <w:lvlJc w:val="left"/>
      <w:pPr>
        <w:ind w:left="1021" w:hanging="360"/>
      </w:pPr>
      <w:rPr>
        <w:rFonts w:ascii="ＭＳ 明朝" w:eastAsia="ＭＳ 明朝" w:hAnsi="ＭＳ 明朝" w:cstheme="minorBidi" w:hint="eastAsia"/>
        <w:b w:val="0"/>
      </w:rPr>
    </w:lvl>
    <w:lvl w:ilvl="2" w:tplc="FFFFFFFF" w:tentative="1">
      <w:start w:val="1"/>
      <w:numFmt w:val="decimalEnclosedCircle"/>
      <w:lvlText w:val="%3"/>
      <w:lvlJc w:val="left"/>
      <w:pPr>
        <w:ind w:left="1501" w:hanging="420"/>
      </w:pPr>
    </w:lvl>
    <w:lvl w:ilvl="3" w:tplc="FFFFFFFF" w:tentative="1">
      <w:start w:val="1"/>
      <w:numFmt w:val="decimal"/>
      <w:lvlText w:val="%4."/>
      <w:lvlJc w:val="left"/>
      <w:pPr>
        <w:ind w:left="1921" w:hanging="420"/>
      </w:pPr>
    </w:lvl>
    <w:lvl w:ilvl="4" w:tplc="FFFFFFFF" w:tentative="1">
      <w:start w:val="1"/>
      <w:numFmt w:val="aiueoFullWidth"/>
      <w:lvlText w:val="(%5)"/>
      <w:lvlJc w:val="left"/>
      <w:pPr>
        <w:ind w:left="2341" w:hanging="420"/>
      </w:pPr>
    </w:lvl>
    <w:lvl w:ilvl="5" w:tplc="FFFFFFFF" w:tentative="1">
      <w:start w:val="1"/>
      <w:numFmt w:val="decimalEnclosedCircle"/>
      <w:lvlText w:val="%6"/>
      <w:lvlJc w:val="left"/>
      <w:pPr>
        <w:ind w:left="2761" w:hanging="420"/>
      </w:pPr>
    </w:lvl>
    <w:lvl w:ilvl="6" w:tplc="FFFFFFFF" w:tentative="1">
      <w:start w:val="1"/>
      <w:numFmt w:val="decimal"/>
      <w:lvlText w:val="%7."/>
      <w:lvlJc w:val="left"/>
      <w:pPr>
        <w:ind w:left="3181" w:hanging="420"/>
      </w:pPr>
    </w:lvl>
    <w:lvl w:ilvl="7" w:tplc="FFFFFFFF" w:tentative="1">
      <w:start w:val="1"/>
      <w:numFmt w:val="aiueoFullWidth"/>
      <w:lvlText w:val="(%8)"/>
      <w:lvlJc w:val="left"/>
      <w:pPr>
        <w:ind w:left="3601" w:hanging="420"/>
      </w:pPr>
    </w:lvl>
    <w:lvl w:ilvl="8" w:tplc="FFFFFFFF" w:tentative="1">
      <w:start w:val="1"/>
      <w:numFmt w:val="decimalEnclosedCircle"/>
      <w:lvlText w:val="%9"/>
      <w:lvlJc w:val="left"/>
      <w:pPr>
        <w:ind w:left="4021" w:hanging="420"/>
      </w:pPr>
    </w:lvl>
  </w:abstractNum>
  <w:abstractNum w:abstractNumId="1" w15:restartNumberingAfterBreak="0">
    <w:nsid w:val="276A4E72"/>
    <w:multiLevelType w:val="hybridMultilevel"/>
    <w:tmpl w:val="D54A17C0"/>
    <w:lvl w:ilvl="0" w:tplc="5464D438">
      <w:start w:val="1"/>
      <w:numFmt w:val="decimalEnclosedCircle"/>
      <w:lvlText w:val="%1"/>
      <w:lvlJc w:val="left"/>
      <w:pPr>
        <w:ind w:left="601" w:hanging="360"/>
      </w:pPr>
      <w:rPr>
        <w:rFonts w:hint="eastAsia"/>
      </w:rPr>
    </w:lvl>
    <w:lvl w:ilvl="1" w:tplc="A5E0F6A6">
      <w:start w:val="1"/>
      <w:numFmt w:val="bullet"/>
      <w:lvlText w:val="※"/>
      <w:lvlJc w:val="left"/>
      <w:pPr>
        <w:ind w:left="1021" w:hanging="360"/>
      </w:pPr>
      <w:rPr>
        <w:rFonts w:ascii="ＭＳ 明朝" w:eastAsia="ＭＳ 明朝" w:hAnsi="ＭＳ 明朝" w:cstheme="minorBidi" w:hint="eastAsia"/>
        <w:b w:val="0"/>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44122021"/>
    <w:multiLevelType w:val="hybridMultilevel"/>
    <w:tmpl w:val="D54A17C0"/>
    <w:lvl w:ilvl="0" w:tplc="FFFFFFFF">
      <w:start w:val="1"/>
      <w:numFmt w:val="decimalEnclosedCircle"/>
      <w:lvlText w:val="%1"/>
      <w:lvlJc w:val="left"/>
      <w:pPr>
        <w:ind w:left="601" w:hanging="360"/>
      </w:pPr>
      <w:rPr>
        <w:rFonts w:hint="eastAsia"/>
      </w:rPr>
    </w:lvl>
    <w:lvl w:ilvl="1" w:tplc="FFFFFFFF">
      <w:start w:val="1"/>
      <w:numFmt w:val="bullet"/>
      <w:lvlText w:val="※"/>
      <w:lvlJc w:val="left"/>
      <w:pPr>
        <w:ind w:left="1021" w:hanging="360"/>
      </w:pPr>
      <w:rPr>
        <w:rFonts w:ascii="ＭＳ 明朝" w:eastAsia="ＭＳ 明朝" w:hAnsi="ＭＳ 明朝" w:cstheme="minorBidi" w:hint="eastAsia"/>
        <w:b w:val="0"/>
      </w:rPr>
    </w:lvl>
    <w:lvl w:ilvl="2" w:tplc="FFFFFFFF" w:tentative="1">
      <w:start w:val="1"/>
      <w:numFmt w:val="decimalEnclosedCircle"/>
      <w:lvlText w:val="%3"/>
      <w:lvlJc w:val="left"/>
      <w:pPr>
        <w:ind w:left="1501" w:hanging="420"/>
      </w:pPr>
    </w:lvl>
    <w:lvl w:ilvl="3" w:tplc="FFFFFFFF" w:tentative="1">
      <w:start w:val="1"/>
      <w:numFmt w:val="decimal"/>
      <w:lvlText w:val="%4."/>
      <w:lvlJc w:val="left"/>
      <w:pPr>
        <w:ind w:left="1921" w:hanging="420"/>
      </w:pPr>
    </w:lvl>
    <w:lvl w:ilvl="4" w:tplc="FFFFFFFF" w:tentative="1">
      <w:start w:val="1"/>
      <w:numFmt w:val="aiueoFullWidth"/>
      <w:lvlText w:val="(%5)"/>
      <w:lvlJc w:val="left"/>
      <w:pPr>
        <w:ind w:left="2341" w:hanging="420"/>
      </w:pPr>
    </w:lvl>
    <w:lvl w:ilvl="5" w:tplc="FFFFFFFF" w:tentative="1">
      <w:start w:val="1"/>
      <w:numFmt w:val="decimalEnclosedCircle"/>
      <w:lvlText w:val="%6"/>
      <w:lvlJc w:val="left"/>
      <w:pPr>
        <w:ind w:left="2761" w:hanging="420"/>
      </w:pPr>
    </w:lvl>
    <w:lvl w:ilvl="6" w:tplc="FFFFFFFF" w:tentative="1">
      <w:start w:val="1"/>
      <w:numFmt w:val="decimal"/>
      <w:lvlText w:val="%7."/>
      <w:lvlJc w:val="left"/>
      <w:pPr>
        <w:ind w:left="3181" w:hanging="420"/>
      </w:pPr>
    </w:lvl>
    <w:lvl w:ilvl="7" w:tplc="FFFFFFFF" w:tentative="1">
      <w:start w:val="1"/>
      <w:numFmt w:val="aiueoFullWidth"/>
      <w:lvlText w:val="(%8)"/>
      <w:lvlJc w:val="left"/>
      <w:pPr>
        <w:ind w:left="3601" w:hanging="420"/>
      </w:pPr>
    </w:lvl>
    <w:lvl w:ilvl="8" w:tplc="FFFFFFFF" w:tentative="1">
      <w:start w:val="1"/>
      <w:numFmt w:val="decimalEnclosedCircle"/>
      <w:lvlText w:val="%9"/>
      <w:lvlJc w:val="left"/>
      <w:pPr>
        <w:ind w:left="4021" w:hanging="420"/>
      </w:pPr>
    </w:lvl>
  </w:abstractNum>
  <w:abstractNum w:abstractNumId="3" w15:restartNumberingAfterBreak="0">
    <w:nsid w:val="4D003278"/>
    <w:multiLevelType w:val="hybridMultilevel"/>
    <w:tmpl w:val="D54A17C0"/>
    <w:lvl w:ilvl="0" w:tplc="FFFFFFFF">
      <w:start w:val="1"/>
      <w:numFmt w:val="decimalEnclosedCircle"/>
      <w:lvlText w:val="%1"/>
      <w:lvlJc w:val="left"/>
      <w:pPr>
        <w:ind w:left="601" w:hanging="360"/>
      </w:pPr>
      <w:rPr>
        <w:rFonts w:hint="eastAsia"/>
      </w:rPr>
    </w:lvl>
    <w:lvl w:ilvl="1" w:tplc="FFFFFFFF">
      <w:start w:val="1"/>
      <w:numFmt w:val="bullet"/>
      <w:lvlText w:val="※"/>
      <w:lvlJc w:val="left"/>
      <w:pPr>
        <w:ind w:left="1021" w:hanging="360"/>
      </w:pPr>
      <w:rPr>
        <w:rFonts w:ascii="ＭＳ 明朝" w:eastAsia="ＭＳ 明朝" w:hAnsi="ＭＳ 明朝" w:cstheme="minorBidi" w:hint="eastAsia"/>
        <w:b w:val="0"/>
      </w:rPr>
    </w:lvl>
    <w:lvl w:ilvl="2" w:tplc="FFFFFFFF" w:tentative="1">
      <w:start w:val="1"/>
      <w:numFmt w:val="decimalEnclosedCircle"/>
      <w:lvlText w:val="%3"/>
      <w:lvlJc w:val="left"/>
      <w:pPr>
        <w:ind w:left="1501" w:hanging="420"/>
      </w:pPr>
    </w:lvl>
    <w:lvl w:ilvl="3" w:tplc="FFFFFFFF" w:tentative="1">
      <w:start w:val="1"/>
      <w:numFmt w:val="decimal"/>
      <w:lvlText w:val="%4."/>
      <w:lvlJc w:val="left"/>
      <w:pPr>
        <w:ind w:left="1921" w:hanging="420"/>
      </w:pPr>
    </w:lvl>
    <w:lvl w:ilvl="4" w:tplc="FFFFFFFF" w:tentative="1">
      <w:start w:val="1"/>
      <w:numFmt w:val="aiueoFullWidth"/>
      <w:lvlText w:val="(%5)"/>
      <w:lvlJc w:val="left"/>
      <w:pPr>
        <w:ind w:left="2341" w:hanging="420"/>
      </w:pPr>
    </w:lvl>
    <w:lvl w:ilvl="5" w:tplc="FFFFFFFF" w:tentative="1">
      <w:start w:val="1"/>
      <w:numFmt w:val="decimalEnclosedCircle"/>
      <w:lvlText w:val="%6"/>
      <w:lvlJc w:val="left"/>
      <w:pPr>
        <w:ind w:left="2761" w:hanging="420"/>
      </w:pPr>
    </w:lvl>
    <w:lvl w:ilvl="6" w:tplc="FFFFFFFF" w:tentative="1">
      <w:start w:val="1"/>
      <w:numFmt w:val="decimal"/>
      <w:lvlText w:val="%7."/>
      <w:lvlJc w:val="left"/>
      <w:pPr>
        <w:ind w:left="3181" w:hanging="420"/>
      </w:pPr>
    </w:lvl>
    <w:lvl w:ilvl="7" w:tplc="FFFFFFFF" w:tentative="1">
      <w:start w:val="1"/>
      <w:numFmt w:val="aiueoFullWidth"/>
      <w:lvlText w:val="(%8)"/>
      <w:lvlJc w:val="left"/>
      <w:pPr>
        <w:ind w:left="3601" w:hanging="420"/>
      </w:pPr>
    </w:lvl>
    <w:lvl w:ilvl="8" w:tplc="FFFFFFFF" w:tentative="1">
      <w:start w:val="1"/>
      <w:numFmt w:val="decimalEnclosedCircle"/>
      <w:lvlText w:val="%9"/>
      <w:lvlJc w:val="left"/>
      <w:pPr>
        <w:ind w:left="4021" w:hanging="420"/>
      </w:pPr>
    </w:lvl>
  </w:abstractNum>
  <w:abstractNum w:abstractNumId="4" w15:restartNumberingAfterBreak="0">
    <w:nsid w:val="5286276D"/>
    <w:multiLevelType w:val="hybridMultilevel"/>
    <w:tmpl w:val="EE909CF0"/>
    <w:lvl w:ilvl="0" w:tplc="415CB7E0">
      <w:start w:val="1"/>
      <w:numFmt w:val="decimalFullWidth"/>
      <w:lvlText w:val="（%1）"/>
      <w:lvlJc w:val="left"/>
      <w:pPr>
        <w:ind w:left="750" w:hanging="750"/>
      </w:pPr>
      <w:rPr>
        <w:rFonts w:hint="eastAsia"/>
      </w:rPr>
    </w:lvl>
    <w:lvl w:ilvl="1" w:tplc="484E4A2A">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FE1733"/>
    <w:multiLevelType w:val="hybridMultilevel"/>
    <w:tmpl w:val="FDAC3C9C"/>
    <w:lvl w:ilvl="0" w:tplc="F16A1C18">
      <w:start w:val="1"/>
      <w:numFmt w:val="decimalFullWidth"/>
      <w:lvlText w:val="%1．"/>
      <w:lvlJc w:val="left"/>
      <w:pPr>
        <w:ind w:left="1592" w:hanging="600"/>
      </w:pPr>
      <w:rPr>
        <w:rFonts w:hint="default"/>
      </w:rPr>
    </w:lvl>
    <w:lvl w:ilvl="1" w:tplc="94CE4C0C">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861575"/>
    <w:multiLevelType w:val="hybridMultilevel"/>
    <w:tmpl w:val="A75AC9E0"/>
    <w:lvl w:ilvl="0" w:tplc="6AF25C62">
      <w:start w:val="1"/>
      <w:numFmt w:val="lowerLetter"/>
      <w:lvlText w:val="%1)"/>
      <w:lvlJc w:val="left"/>
      <w:pPr>
        <w:ind w:left="1202" w:hanging="360"/>
      </w:pPr>
      <w:rPr>
        <w:rFonts w:hint="eastAsia"/>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7" w15:restartNumberingAfterBreak="0">
    <w:nsid w:val="65FD5ED0"/>
    <w:multiLevelType w:val="hybridMultilevel"/>
    <w:tmpl w:val="D54A17C0"/>
    <w:lvl w:ilvl="0" w:tplc="FFFFFFFF">
      <w:start w:val="1"/>
      <w:numFmt w:val="decimalEnclosedCircle"/>
      <w:lvlText w:val="%1"/>
      <w:lvlJc w:val="left"/>
      <w:pPr>
        <w:ind w:left="601" w:hanging="360"/>
      </w:pPr>
      <w:rPr>
        <w:rFonts w:hint="eastAsia"/>
      </w:rPr>
    </w:lvl>
    <w:lvl w:ilvl="1" w:tplc="FFFFFFFF">
      <w:start w:val="1"/>
      <w:numFmt w:val="bullet"/>
      <w:lvlText w:val="※"/>
      <w:lvlJc w:val="left"/>
      <w:pPr>
        <w:ind w:left="1021" w:hanging="360"/>
      </w:pPr>
      <w:rPr>
        <w:rFonts w:ascii="ＭＳ 明朝" w:eastAsia="ＭＳ 明朝" w:hAnsi="ＭＳ 明朝" w:cstheme="minorBidi" w:hint="eastAsia"/>
        <w:b w:val="0"/>
      </w:rPr>
    </w:lvl>
    <w:lvl w:ilvl="2" w:tplc="FFFFFFFF" w:tentative="1">
      <w:start w:val="1"/>
      <w:numFmt w:val="decimalEnclosedCircle"/>
      <w:lvlText w:val="%3"/>
      <w:lvlJc w:val="left"/>
      <w:pPr>
        <w:ind w:left="1501" w:hanging="420"/>
      </w:pPr>
    </w:lvl>
    <w:lvl w:ilvl="3" w:tplc="FFFFFFFF" w:tentative="1">
      <w:start w:val="1"/>
      <w:numFmt w:val="decimal"/>
      <w:lvlText w:val="%4."/>
      <w:lvlJc w:val="left"/>
      <w:pPr>
        <w:ind w:left="1921" w:hanging="420"/>
      </w:pPr>
    </w:lvl>
    <w:lvl w:ilvl="4" w:tplc="FFFFFFFF" w:tentative="1">
      <w:start w:val="1"/>
      <w:numFmt w:val="aiueoFullWidth"/>
      <w:lvlText w:val="(%5)"/>
      <w:lvlJc w:val="left"/>
      <w:pPr>
        <w:ind w:left="2341" w:hanging="420"/>
      </w:pPr>
    </w:lvl>
    <w:lvl w:ilvl="5" w:tplc="FFFFFFFF" w:tentative="1">
      <w:start w:val="1"/>
      <w:numFmt w:val="decimalEnclosedCircle"/>
      <w:lvlText w:val="%6"/>
      <w:lvlJc w:val="left"/>
      <w:pPr>
        <w:ind w:left="2761" w:hanging="420"/>
      </w:pPr>
    </w:lvl>
    <w:lvl w:ilvl="6" w:tplc="FFFFFFFF" w:tentative="1">
      <w:start w:val="1"/>
      <w:numFmt w:val="decimal"/>
      <w:lvlText w:val="%7."/>
      <w:lvlJc w:val="left"/>
      <w:pPr>
        <w:ind w:left="3181" w:hanging="420"/>
      </w:pPr>
    </w:lvl>
    <w:lvl w:ilvl="7" w:tplc="FFFFFFFF" w:tentative="1">
      <w:start w:val="1"/>
      <w:numFmt w:val="aiueoFullWidth"/>
      <w:lvlText w:val="(%8)"/>
      <w:lvlJc w:val="left"/>
      <w:pPr>
        <w:ind w:left="3601" w:hanging="420"/>
      </w:pPr>
    </w:lvl>
    <w:lvl w:ilvl="8" w:tplc="FFFFFFFF" w:tentative="1">
      <w:start w:val="1"/>
      <w:numFmt w:val="decimalEnclosedCircle"/>
      <w:lvlText w:val="%9"/>
      <w:lvlJc w:val="left"/>
      <w:pPr>
        <w:ind w:left="4021" w:hanging="420"/>
      </w:pPr>
    </w:lvl>
  </w:abstractNum>
  <w:num w:numId="1" w16cid:durableId="170612596">
    <w:abstractNumId w:val="5"/>
  </w:num>
  <w:num w:numId="2" w16cid:durableId="1325668262">
    <w:abstractNumId w:val="4"/>
  </w:num>
  <w:num w:numId="3" w16cid:durableId="1595169240">
    <w:abstractNumId w:val="1"/>
  </w:num>
  <w:num w:numId="4" w16cid:durableId="210503178">
    <w:abstractNumId w:val="6"/>
  </w:num>
  <w:num w:numId="5" w16cid:durableId="1381974797">
    <w:abstractNumId w:val="0"/>
  </w:num>
  <w:num w:numId="6" w16cid:durableId="195001710">
    <w:abstractNumId w:val="7"/>
  </w:num>
  <w:num w:numId="7" w16cid:durableId="651327455">
    <w:abstractNumId w:val="3"/>
  </w:num>
  <w:num w:numId="8" w16cid:durableId="44985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0B"/>
    <w:rsid w:val="000714D7"/>
    <w:rsid w:val="000800FA"/>
    <w:rsid w:val="000A3A07"/>
    <w:rsid w:val="000E4BEF"/>
    <w:rsid w:val="00110596"/>
    <w:rsid w:val="00117FBB"/>
    <w:rsid w:val="00120AD4"/>
    <w:rsid w:val="0012704F"/>
    <w:rsid w:val="001270B0"/>
    <w:rsid w:val="00137AF0"/>
    <w:rsid w:val="001950D4"/>
    <w:rsid w:val="001F229C"/>
    <w:rsid w:val="001F2EA3"/>
    <w:rsid w:val="00234E6F"/>
    <w:rsid w:val="00257D0E"/>
    <w:rsid w:val="002773B1"/>
    <w:rsid w:val="0028475F"/>
    <w:rsid w:val="002A2133"/>
    <w:rsid w:val="002A44E0"/>
    <w:rsid w:val="002B3920"/>
    <w:rsid w:val="002B4DF2"/>
    <w:rsid w:val="002C7C55"/>
    <w:rsid w:val="002E6F42"/>
    <w:rsid w:val="002F2744"/>
    <w:rsid w:val="00300736"/>
    <w:rsid w:val="00306230"/>
    <w:rsid w:val="00307FC6"/>
    <w:rsid w:val="003111E6"/>
    <w:rsid w:val="00324EEF"/>
    <w:rsid w:val="003273C3"/>
    <w:rsid w:val="00327709"/>
    <w:rsid w:val="00342DA1"/>
    <w:rsid w:val="00363364"/>
    <w:rsid w:val="00372FB8"/>
    <w:rsid w:val="00374BA6"/>
    <w:rsid w:val="00380AFB"/>
    <w:rsid w:val="00381329"/>
    <w:rsid w:val="003C0825"/>
    <w:rsid w:val="00415E57"/>
    <w:rsid w:val="00423133"/>
    <w:rsid w:val="00427D99"/>
    <w:rsid w:val="004340AE"/>
    <w:rsid w:val="0046326C"/>
    <w:rsid w:val="00465B85"/>
    <w:rsid w:val="00482008"/>
    <w:rsid w:val="0049010A"/>
    <w:rsid w:val="004B463C"/>
    <w:rsid w:val="004D5356"/>
    <w:rsid w:val="004E033B"/>
    <w:rsid w:val="00532654"/>
    <w:rsid w:val="00533ECD"/>
    <w:rsid w:val="00543975"/>
    <w:rsid w:val="0054649C"/>
    <w:rsid w:val="00553CC8"/>
    <w:rsid w:val="00564DE9"/>
    <w:rsid w:val="00574E90"/>
    <w:rsid w:val="00582C84"/>
    <w:rsid w:val="005A140B"/>
    <w:rsid w:val="005A35BC"/>
    <w:rsid w:val="005A70DB"/>
    <w:rsid w:val="005B2C63"/>
    <w:rsid w:val="005C12EE"/>
    <w:rsid w:val="005C5442"/>
    <w:rsid w:val="005D124A"/>
    <w:rsid w:val="005D4B4F"/>
    <w:rsid w:val="006018CF"/>
    <w:rsid w:val="00646949"/>
    <w:rsid w:val="00646BD7"/>
    <w:rsid w:val="0068620B"/>
    <w:rsid w:val="006B4161"/>
    <w:rsid w:val="006D7F6D"/>
    <w:rsid w:val="006F7499"/>
    <w:rsid w:val="00704A61"/>
    <w:rsid w:val="00712B71"/>
    <w:rsid w:val="0071550C"/>
    <w:rsid w:val="00724294"/>
    <w:rsid w:val="00725204"/>
    <w:rsid w:val="00740B36"/>
    <w:rsid w:val="007441B2"/>
    <w:rsid w:val="007A7F73"/>
    <w:rsid w:val="007B05C5"/>
    <w:rsid w:val="007C5893"/>
    <w:rsid w:val="007E31A1"/>
    <w:rsid w:val="0080263F"/>
    <w:rsid w:val="00807B5E"/>
    <w:rsid w:val="008126D4"/>
    <w:rsid w:val="00823E1A"/>
    <w:rsid w:val="008248C2"/>
    <w:rsid w:val="008351E7"/>
    <w:rsid w:val="00854164"/>
    <w:rsid w:val="00895497"/>
    <w:rsid w:val="00895F6B"/>
    <w:rsid w:val="008A0756"/>
    <w:rsid w:val="008B6018"/>
    <w:rsid w:val="008C73D1"/>
    <w:rsid w:val="008D1F2F"/>
    <w:rsid w:val="008E3371"/>
    <w:rsid w:val="008F3AC7"/>
    <w:rsid w:val="00916A0F"/>
    <w:rsid w:val="00933F69"/>
    <w:rsid w:val="0093515D"/>
    <w:rsid w:val="00981B64"/>
    <w:rsid w:val="00985145"/>
    <w:rsid w:val="009F084A"/>
    <w:rsid w:val="009F1401"/>
    <w:rsid w:val="009F48A5"/>
    <w:rsid w:val="00A002C3"/>
    <w:rsid w:val="00A10268"/>
    <w:rsid w:val="00A323D2"/>
    <w:rsid w:val="00A41436"/>
    <w:rsid w:val="00AB4FCA"/>
    <w:rsid w:val="00AF4925"/>
    <w:rsid w:val="00AF4BF6"/>
    <w:rsid w:val="00B45647"/>
    <w:rsid w:val="00BB08AD"/>
    <w:rsid w:val="00C030AE"/>
    <w:rsid w:val="00C11B59"/>
    <w:rsid w:val="00C260B1"/>
    <w:rsid w:val="00C32EE8"/>
    <w:rsid w:val="00C36AE3"/>
    <w:rsid w:val="00C9072D"/>
    <w:rsid w:val="00C921D2"/>
    <w:rsid w:val="00CE6391"/>
    <w:rsid w:val="00D1686F"/>
    <w:rsid w:val="00D600D5"/>
    <w:rsid w:val="00D613E7"/>
    <w:rsid w:val="00D81722"/>
    <w:rsid w:val="00D97A3E"/>
    <w:rsid w:val="00DB1A89"/>
    <w:rsid w:val="00DB7091"/>
    <w:rsid w:val="00DC5CCF"/>
    <w:rsid w:val="00DC69D8"/>
    <w:rsid w:val="00E12D42"/>
    <w:rsid w:val="00E30A35"/>
    <w:rsid w:val="00E30B32"/>
    <w:rsid w:val="00E36A14"/>
    <w:rsid w:val="00E5409C"/>
    <w:rsid w:val="00E97491"/>
    <w:rsid w:val="00EA2AEB"/>
    <w:rsid w:val="00EC763D"/>
    <w:rsid w:val="00EE2315"/>
    <w:rsid w:val="00EF598F"/>
    <w:rsid w:val="00EF750F"/>
    <w:rsid w:val="00F1031C"/>
    <w:rsid w:val="00F36A47"/>
    <w:rsid w:val="00F84AA4"/>
    <w:rsid w:val="00F93307"/>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EA919"/>
  <w15:chartTrackingRefBased/>
  <w15:docId w15:val="{A6194F1A-3BBF-45F7-9C98-E0FAD104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40B"/>
    <w:pPr>
      <w:widowControl w:val="0"/>
      <w:jc w:val="both"/>
    </w:pPr>
  </w:style>
  <w:style w:type="paragraph" w:styleId="2">
    <w:name w:val="heading 2"/>
    <w:basedOn w:val="a"/>
    <w:next w:val="a"/>
    <w:link w:val="20"/>
    <w:uiPriority w:val="9"/>
    <w:unhideWhenUsed/>
    <w:qFormat/>
    <w:rsid w:val="005A140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customStyle="1" w:styleId="20">
    <w:name w:val="見出し 2 (文字)"/>
    <w:basedOn w:val="a0"/>
    <w:link w:val="2"/>
    <w:uiPriority w:val="9"/>
    <w:rsid w:val="005A140B"/>
    <w:rPr>
      <w:rFonts w:asciiTheme="majorHAnsi" w:eastAsiaTheme="majorEastAsia" w:hAnsiTheme="majorHAnsi" w:cstheme="majorBidi"/>
    </w:rPr>
  </w:style>
  <w:style w:type="paragraph" w:styleId="ad">
    <w:name w:val="footnote text"/>
    <w:basedOn w:val="a"/>
    <w:link w:val="ae"/>
    <w:uiPriority w:val="99"/>
    <w:unhideWhenUsed/>
    <w:rsid w:val="005A140B"/>
    <w:pPr>
      <w:snapToGrid w:val="0"/>
      <w:jc w:val="left"/>
    </w:pPr>
  </w:style>
  <w:style w:type="character" w:customStyle="1" w:styleId="ae">
    <w:name w:val="脚注文字列 (文字)"/>
    <w:basedOn w:val="a0"/>
    <w:link w:val="ad"/>
    <w:uiPriority w:val="99"/>
    <w:rsid w:val="005A140B"/>
  </w:style>
  <w:style w:type="character" w:styleId="af">
    <w:name w:val="footnote reference"/>
    <w:basedOn w:val="a0"/>
    <w:uiPriority w:val="99"/>
    <w:unhideWhenUsed/>
    <w:rsid w:val="005A140B"/>
    <w:rPr>
      <w:vertAlign w:val="superscript"/>
    </w:rPr>
  </w:style>
  <w:style w:type="character" w:customStyle="1" w:styleId="ui-provider">
    <w:name w:val="ui-provider"/>
    <w:basedOn w:val="a0"/>
    <w:rsid w:val="005A140B"/>
  </w:style>
  <w:style w:type="paragraph" w:styleId="af0">
    <w:name w:val="List Paragraph"/>
    <w:basedOn w:val="a"/>
    <w:uiPriority w:val="34"/>
    <w:qFormat/>
    <w:rsid w:val="005A140B"/>
    <w:pPr>
      <w:ind w:leftChars="400" w:left="840"/>
    </w:pPr>
  </w:style>
  <w:style w:type="character" w:styleId="af1">
    <w:name w:val="Unresolved Mention"/>
    <w:basedOn w:val="a0"/>
    <w:uiPriority w:val="99"/>
    <w:semiHidden/>
    <w:unhideWhenUsed/>
    <w:rsid w:val="00B45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D5C390D2EB95945B9FCE27185A9C26E" ma:contentTypeVersion="5" ma:contentTypeDescription="新しいドキュメントを作成します。" ma:contentTypeScope="" ma:versionID="dca580aa716929869e5d022635cbb30a">
  <xsd:schema xmlns:xsd="http://www.w3.org/2001/XMLSchema" xmlns:xs="http://www.w3.org/2001/XMLSchema" xmlns:p="http://schemas.microsoft.com/office/2006/metadata/properties" xmlns:ns3="0af3e129-4550-44c0-9a9a-1f8bcd6d4dd0" xmlns:ns4="184ea148-202f-40ac-9133-fb520e0d47dd" targetNamespace="http://schemas.microsoft.com/office/2006/metadata/properties" ma:root="true" ma:fieldsID="eb002e265ed4e19596cd16fe656abced" ns3:_="" ns4:_="">
    <xsd:import namespace="0af3e129-4550-44c0-9a9a-1f8bcd6d4dd0"/>
    <xsd:import namespace="184ea148-202f-40ac-9133-fb520e0d47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3e129-4550-44c0-9a9a-1f8bcd6d4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4ea148-202f-40ac-9133-fb520e0d47d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D0F03-E569-4606-8A97-AD5CB26B8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3e129-4550-44c0-9a9a-1f8bcd6d4dd0"/>
    <ds:schemaRef ds:uri="184ea148-202f-40ac-9133-fb520e0d4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customXml/itemProps3.xml><?xml version="1.0" encoding="utf-8"?>
<ds:datastoreItem xmlns:ds="http://schemas.openxmlformats.org/officeDocument/2006/customXml" ds:itemID="{40661A11-0EF6-4AC9-B86A-2E16BC74FD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C3D739-2AF4-4E58-88DC-8642E5903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1046</Words>
  <Characters>5968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kinoshita</cp:lastModifiedBy>
  <cp:revision>10</cp:revision>
  <cp:lastPrinted>2023-10-31T07:20:00Z</cp:lastPrinted>
  <dcterms:created xsi:type="dcterms:W3CDTF">2023-10-24T09:21:00Z</dcterms:created>
  <dcterms:modified xsi:type="dcterms:W3CDTF">2023-12-20T02:16:00Z</dcterms:modified>
</cp:coreProperties>
</file>